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EBFBC" w14:textId="32F9EACF" w:rsidR="00931175" w:rsidRPr="00547A72" w:rsidRDefault="00547A72">
      <w:pPr>
        <w:rPr>
          <w:rFonts w:ascii="Verdana" w:hAnsi="Verdana"/>
          <w:b/>
          <w:bCs/>
        </w:rPr>
      </w:pPr>
      <w:r w:rsidRPr="00547A72">
        <w:rPr>
          <w:rFonts w:ascii="Verdana" w:hAnsi="Verdana"/>
          <w:b/>
          <w:bCs/>
        </w:rPr>
        <w:t xml:space="preserve">REPORT TATTICO DEL </w:t>
      </w:r>
      <w:r w:rsidR="00093B9F">
        <w:rPr>
          <w:rFonts w:ascii="Verdana" w:hAnsi="Verdana"/>
          <w:b/>
          <w:bCs/>
        </w:rPr>
        <w:t>1</w:t>
      </w:r>
      <w:r w:rsidR="00C672BC">
        <w:rPr>
          <w:rFonts w:ascii="Verdana" w:hAnsi="Verdana"/>
          <w:b/>
          <w:bCs/>
        </w:rPr>
        <w:t>7</w:t>
      </w:r>
      <w:r w:rsidR="00163BC4">
        <w:rPr>
          <w:rFonts w:ascii="Verdana" w:hAnsi="Verdana"/>
          <w:b/>
          <w:bCs/>
        </w:rPr>
        <w:t>/</w:t>
      </w:r>
      <w:r w:rsidR="0021684F">
        <w:rPr>
          <w:rFonts w:ascii="Verdana" w:hAnsi="Verdana"/>
          <w:b/>
          <w:bCs/>
        </w:rPr>
        <w:t>0</w:t>
      </w:r>
      <w:r w:rsidR="007F68D5">
        <w:rPr>
          <w:rFonts w:ascii="Verdana" w:hAnsi="Verdana"/>
          <w:b/>
          <w:bCs/>
        </w:rPr>
        <w:t>6</w:t>
      </w:r>
      <w:r w:rsidR="00163BC4">
        <w:rPr>
          <w:rFonts w:ascii="Verdana" w:hAnsi="Verdana"/>
          <w:b/>
          <w:bCs/>
        </w:rPr>
        <w:t>/</w:t>
      </w:r>
      <w:r w:rsidRPr="00547A72">
        <w:rPr>
          <w:rFonts w:ascii="Verdana" w:hAnsi="Verdana"/>
          <w:b/>
          <w:bCs/>
        </w:rPr>
        <w:t>202</w:t>
      </w:r>
      <w:r w:rsidR="00697BD7">
        <w:rPr>
          <w:rFonts w:ascii="Verdana" w:hAnsi="Verdana"/>
          <w:b/>
          <w:bCs/>
        </w:rPr>
        <w:t>4</w:t>
      </w:r>
    </w:p>
    <w:tbl>
      <w:tblPr>
        <w:tblStyle w:val="Grigliatabella"/>
        <w:tblW w:w="9837" w:type="dxa"/>
        <w:shd w:val="clear" w:color="auto" w:fill="FFF2CC" w:themeFill="accent4" w:themeFillTint="33"/>
        <w:tblLook w:val="04A0" w:firstRow="1" w:lastRow="0" w:firstColumn="1" w:lastColumn="0" w:noHBand="0" w:noVBand="1"/>
      </w:tblPr>
      <w:tblGrid>
        <w:gridCol w:w="9837"/>
      </w:tblGrid>
      <w:tr w:rsidR="00547A72" w14:paraId="45D75F03" w14:textId="77777777" w:rsidTr="005C5D98">
        <w:trPr>
          <w:trHeight w:val="4037"/>
        </w:trPr>
        <w:tc>
          <w:tcPr>
            <w:tcW w:w="9837" w:type="dxa"/>
            <w:shd w:val="clear" w:color="auto" w:fill="FFF2CC" w:themeFill="accent4" w:themeFillTint="33"/>
          </w:tcPr>
          <w:p w14:paraId="6D208EC3" w14:textId="77777777" w:rsidR="007F68D5" w:rsidRDefault="007F68D5" w:rsidP="004870F5">
            <w:pPr>
              <w:rPr>
                <w:rFonts w:ascii="Verdana" w:hAnsi="Verdana"/>
              </w:rPr>
            </w:pPr>
          </w:p>
          <w:p w14:paraId="144BF998" w14:textId="477CC357" w:rsidR="0053143E" w:rsidRDefault="00B93336" w:rsidP="00C672BC">
            <w:pPr>
              <w:rPr>
                <w:rFonts w:ascii="Verdana" w:hAnsi="Verdana"/>
              </w:rPr>
            </w:pPr>
            <w:r>
              <w:rPr>
                <w:rFonts w:ascii="Verdana" w:hAnsi="Verdana"/>
              </w:rPr>
              <w:t>Gli effetti delle elezioni europee si sono visti soprattutto in Francia sia sull’azionario che l’obbligazionario. Il movimento forte di rialzo dei tassi in Europa ritengo debba essere sfruttato per accumulare in previsione che nei prossimi mesi l’obbligazionario tornerà rifugio per i probabili consolidamenti azionari e le elezioni americane.</w:t>
            </w:r>
          </w:p>
          <w:p w14:paraId="071A8275" w14:textId="719233F3" w:rsidR="00B93336" w:rsidRDefault="00B93336" w:rsidP="00C672BC">
            <w:pPr>
              <w:rPr>
                <w:rFonts w:ascii="Verdana" w:hAnsi="Verdana"/>
              </w:rPr>
            </w:pPr>
            <w:r>
              <w:rPr>
                <w:rFonts w:ascii="Verdana" w:hAnsi="Verdana"/>
              </w:rPr>
              <w:t>Io prediligerei bond corporate invece dei governativi visto il sempre maggior impegno di fare deficit da parte degli Stati.</w:t>
            </w:r>
          </w:p>
          <w:p w14:paraId="76B3764B" w14:textId="6F0CE0FD" w:rsidR="00B93336" w:rsidRDefault="00B93336" w:rsidP="00C672BC">
            <w:pPr>
              <w:rPr>
                <w:rFonts w:ascii="Verdana" w:hAnsi="Verdana"/>
              </w:rPr>
            </w:pPr>
            <w:r>
              <w:rPr>
                <w:rFonts w:ascii="Verdana" w:hAnsi="Verdana"/>
              </w:rPr>
              <w:t>Per quanto riguarda i mercati azionari la visione viene distorta dai continui ATH dei mercati Usa che in realtà sono in una fase distributiva nascosta dalla forte capitalizzazione e peso delle magnifiche 7.</w:t>
            </w:r>
          </w:p>
          <w:p w14:paraId="51F73193" w14:textId="049F4393" w:rsidR="00FA69A2" w:rsidRDefault="00FA69A2" w:rsidP="00C672BC">
            <w:pPr>
              <w:rPr>
                <w:rFonts w:ascii="Verdana" w:hAnsi="Verdana"/>
              </w:rPr>
            </w:pPr>
            <w:r>
              <w:rPr>
                <w:rFonts w:ascii="Verdana" w:hAnsi="Verdana"/>
              </w:rPr>
              <w:t>Se si guarda lo S&amp;P500 equipesato è cresciuto solo del 3% da inizio anno mentre quello che seguiamo ogni giorno quasi il 15%.</w:t>
            </w:r>
          </w:p>
          <w:p w14:paraId="40977527" w14:textId="3E1A4348" w:rsidR="001F31B0" w:rsidRDefault="001F31B0" w:rsidP="00C672BC">
            <w:pPr>
              <w:rPr>
                <w:rFonts w:ascii="Verdana" w:hAnsi="Verdana"/>
              </w:rPr>
            </w:pPr>
            <w:r>
              <w:rPr>
                <w:rFonts w:ascii="Verdana" w:hAnsi="Verdana"/>
              </w:rPr>
              <w:t>Allo dato che “urla” la fiducia dei consumatori usa è in discesa ma ufficialmente non sono in recessione……potere dell’AI.</w:t>
            </w:r>
          </w:p>
          <w:p w14:paraId="5D74B01B" w14:textId="77777777" w:rsidR="00B93336" w:rsidRDefault="00B93336" w:rsidP="00C672BC">
            <w:pPr>
              <w:rPr>
                <w:rFonts w:ascii="Verdana" w:hAnsi="Verdana"/>
              </w:rPr>
            </w:pPr>
          </w:p>
          <w:p w14:paraId="5A1C8E56" w14:textId="17828118" w:rsidR="004754B9" w:rsidRDefault="00B93336" w:rsidP="00C672BC">
            <w:pPr>
              <w:rPr>
                <w:rFonts w:ascii="Verdana" w:hAnsi="Verdana"/>
              </w:rPr>
            </w:pPr>
            <w:r>
              <w:rPr>
                <w:rFonts w:ascii="Verdana" w:hAnsi="Verdana"/>
              </w:rPr>
              <w:t>Dall’analisi grafica emerge infatti un sell generalizzato tranne che in Usa e un inizio del</w:t>
            </w:r>
            <w:r w:rsidR="00FA69A2">
              <w:rPr>
                <w:rFonts w:ascii="Verdana" w:hAnsi="Verdana"/>
              </w:rPr>
              <w:t xml:space="preserve"> </w:t>
            </w:r>
            <w:r>
              <w:rPr>
                <w:rFonts w:ascii="Verdana" w:hAnsi="Verdana"/>
              </w:rPr>
              <w:t>trend dell’obbligazionario che è in accumulazione.</w:t>
            </w:r>
          </w:p>
          <w:p w14:paraId="741B29D0" w14:textId="77777777" w:rsidR="00FA69A2" w:rsidRDefault="00FA69A2" w:rsidP="00C672BC">
            <w:pPr>
              <w:rPr>
                <w:rFonts w:ascii="Verdana" w:hAnsi="Verdana"/>
              </w:rPr>
            </w:pPr>
            <w:r>
              <w:rPr>
                <w:rFonts w:ascii="Verdana" w:hAnsi="Verdana"/>
              </w:rPr>
              <w:t>Nella tabella del trading ho spostato lo short sull’S&amp;P500 a dicembre alzandomi a 5200.</w:t>
            </w:r>
          </w:p>
          <w:p w14:paraId="3F80A8C5" w14:textId="21973AD7" w:rsidR="00FA69A2" w:rsidRPr="005C5D98" w:rsidRDefault="00FA69A2" w:rsidP="00C672BC">
            <w:pPr>
              <w:rPr>
                <w:rFonts w:ascii="Verdana" w:hAnsi="Verdana"/>
              </w:rPr>
            </w:pPr>
          </w:p>
        </w:tc>
      </w:tr>
    </w:tbl>
    <w:p w14:paraId="298C703D" w14:textId="77777777" w:rsidR="00547A72" w:rsidRDefault="00547A72">
      <w:pPr>
        <w:rPr>
          <w:rFonts w:ascii="Verdana" w:hAnsi="Verdana"/>
        </w:rPr>
      </w:pPr>
    </w:p>
    <w:p w14:paraId="44AC4661" w14:textId="77777777" w:rsidR="00547A72" w:rsidRDefault="00547A72">
      <w:pPr>
        <w:rPr>
          <w:rFonts w:ascii="Verdana" w:hAnsi="Verdana"/>
        </w:rPr>
      </w:pPr>
    </w:p>
    <w:tbl>
      <w:tblPr>
        <w:tblStyle w:val="Grigliatabella"/>
        <w:tblW w:w="0" w:type="auto"/>
        <w:shd w:val="clear" w:color="auto" w:fill="C9C9C9" w:themeFill="accent3" w:themeFillTint="99"/>
        <w:tblLook w:val="04A0" w:firstRow="1" w:lastRow="0" w:firstColumn="1" w:lastColumn="0" w:noHBand="0" w:noVBand="1"/>
      </w:tblPr>
      <w:tblGrid>
        <w:gridCol w:w="2358"/>
        <w:gridCol w:w="1710"/>
        <w:gridCol w:w="2635"/>
        <w:gridCol w:w="1526"/>
        <w:gridCol w:w="1832"/>
      </w:tblGrid>
      <w:tr w:rsidR="00D91C65" w:rsidRPr="00547A72" w14:paraId="36657306" w14:textId="3842D259" w:rsidTr="00D91C65">
        <w:trPr>
          <w:trHeight w:val="535"/>
        </w:trPr>
        <w:tc>
          <w:tcPr>
            <w:tcW w:w="2358" w:type="dxa"/>
            <w:shd w:val="clear" w:color="auto" w:fill="C5E0B3" w:themeFill="accent6" w:themeFillTint="66"/>
          </w:tcPr>
          <w:p w14:paraId="2963D17D" w14:textId="2818D58E" w:rsidR="00D91C65" w:rsidRPr="00547A72" w:rsidRDefault="00D91C65">
            <w:pPr>
              <w:rPr>
                <w:rFonts w:ascii="Verdana" w:hAnsi="Verdana"/>
                <w:b/>
                <w:bCs/>
              </w:rPr>
            </w:pPr>
            <w:r>
              <w:rPr>
                <w:rFonts w:ascii="Verdana" w:hAnsi="Verdana"/>
                <w:b/>
                <w:bCs/>
              </w:rPr>
              <w:t>FUTURES</w:t>
            </w:r>
          </w:p>
        </w:tc>
        <w:tc>
          <w:tcPr>
            <w:tcW w:w="1710" w:type="dxa"/>
            <w:shd w:val="clear" w:color="auto" w:fill="C5E0B3" w:themeFill="accent6" w:themeFillTint="66"/>
          </w:tcPr>
          <w:p w14:paraId="7568810C" w14:textId="73E11C1C" w:rsidR="00D91C65" w:rsidRPr="00547A72" w:rsidRDefault="00D91C65">
            <w:pPr>
              <w:rPr>
                <w:rFonts w:ascii="Verdana" w:hAnsi="Verdana"/>
                <w:b/>
                <w:bCs/>
              </w:rPr>
            </w:pPr>
            <w:r w:rsidRPr="00547A72">
              <w:rPr>
                <w:rFonts w:ascii="Verdana" w:hAnsi="Verdana"/>
                <w:b/>
                <w:bCs/>
              </w:rPr>
              <w:t xml:space="preserve">Trend di </w:t>
            </w:r>
            <w:r w:rsidR="00B53976">
              <w:rPr>
                <w:rFonts w:ascii="Verdana" w:hAnsi="Verdana"/>
                <w:b/>
                <w:bCs/>
              </w:rPr>
              <w:t>medio</w:t>
            </w:r>
          </w:p>
        </w:tc>
        <w:tc>
          <w:tcPr>
            <w:tcW w:w="2635" w:type="dxa"/>
            <w:shd w:val="clear" w:color="auto" w:fill="C5E0B3" w:themeFill="accent6" w:themeFillTint="66"/>
          </w:tcPr>
          <w:p w14:paraId="44E3C28E" w14:textId="77777777" w:rsidR="00D91C65" w:rsidRPr="00D91C65" w:rsidRDefault="00D91C65">
            <w:pPr>
              <w:rPr>
                <w:rFonts w:ascii="Verdana" w:hAnsi="Verdana"/>
                <w:b/>
                <w:bCs/>
                <w:sz w:val="18"/>
                <w:szCs w:val="18"/>
              </w:rPr>
            </w:pPr>
            <w:r w:rsidRPr="00D91C65">
              <w:rPr>
                <w:rFonts w:ascii="Verdana" w:hAnsi="Verdana"/>
                <w:b/>
                <w:bCs/>
                <w:sz w:val="18"/>
                <w:szCs w:val="18"/>
              </w:rPr>
              <w:t>Livelli in/out</w:t>
            </w:r>
          </w:p>
          <w:p w14:paraId="452BA4FE" w14:textId="7AB187C7" w:rsidR="00D91C65" w:rsidRPr="00547A72" w:rsidRDefault="00D91C65">
            <w:pPr>
              <w:rPr>
                <w:rFonts w:ascii="Verdana" w:hAnsi="Verdana"/>
                <w:b/>
                <w:bCs/>
              </w:rPr>
            </w:pPr>
            <w:r w:rsidRPr="00D91C65">
              <w:rPr>
                <w:rFonts w:ascii="Verdana" w:hAnsi="Verdana"/>
                <w:b/>
                <w:bCs/>
                <w:sz w:val="18"/>
                <w:szCs w:val="18"/>
              </w:rPr>
              <w:t>dove cambia e accelera il trend</w:t>
            </w:r>
          </w:p>
        </w:tc>
        <w:tc>
          <w:tcPr>
            <w:tcW w:w="1526" w:type="dxa"/>
            <w:shd w:val="clear" w:color="auto" w:fill="C5E0B3" w:themeFill="accent6" w:themeFillTint="66"/>
          </w:tcPr>
          <w:p w14:paraId="783F845B" w14:textId="06930651" w:rsidR="00D91C65" w:rsidRPr="00547A72" w:rsidRDefault="00D91C65">
            <w:pPr>
              <w:rPr>
                <w:rFonts w:ascii="Verdana" w:hAnsi="Verdana"/>
                <w:b/>
                <w:bCs/>
              </w:rPr>
            </w:pPr>
            <w:r>
              <w:rPr>
                <w:rFonts w:ascii="Verdana" w:hAnsi="Verdana"/>
                <w:b/>
                <w:bCs/>
              </w:rPr>
              <w:t>Trading a breve</w:t>
            </w:r>
          </w:p>
        </w:tc>
        <w:tc>
          <w:tcPr>
            <w:tcW w:w="1547" w:type="dxa"/>
            <w:shd w:val="clear" w:color="auto" w:fill="C5E0B3" w:themeFill="accent6" w:themeFillTint="66"/>
          </w:tcPr>
          <w:p w14:paraId="113FC88E" w14:textId="77777777" w:rsidR="00D91C65" w:rsidRPr="00D91C65" w:rsidRDefault="00D91C65">
            <w:pPr>
              <w:rPr>
                <w:rFonts w:ascii="Verdana" w:hAnsi="Verdana"/>
                <w:b/>
                <w:bCs/>
                <w:sz w:val="16"/>
                <w:szCs w:val="16"/>
              </w:rPr>
            </w:pPr>
            <w:r w:rsidRPr="00D91C65">
              <w:rPr>
                <w:rFonts w:ascii="Verdana" w:hAnsi="Verdana"/>
                <w:b/>
                <w:bCs/>
                <w:sz w:val="16"/>
                <w:szCs w:val="16"/>
              </w:rPr>
              <w:t>Accumulazione/</w:t>
            </w:r>
          </w:p>
          <w:p w14:paraId="768C603E" w14:textId="2B4BAD30" w:rsidR="00D91C65" w:rsidRDefault="00D91C65">
            <w:pPr>
              <w:rPr>
                <w:rFonts w:ascii="Verdana" w:hAnsi="Verdana"/>
                <w:b/>
                <w:bCs/>
              </w:rPr>
            </w:pPr>
            <w:r w:rsidRPr="00D91C65">
              <w:rPr>
                <w:rFonts w:ascii="Verdana" w:hAnsi="Verdana"/>
                <w:b/>
                <w:bCs/>
                <w:sz w:val="16"/>
                <w:szCs w:val="16"/>
              </w:rPr>
              <w:t>distribuzione</w:t>
            </w:r>
          </w:p>
        </w:tc>
      </w:tr>
      <w:tr w:rsidR="00D91C65" w:rsidRPr="00547A72" w14:paraId="14144CA3" w14:textId="02552868" w:rsidTr="00D91C65">
        <w:trPr>
          <w:trHeight w:val="535"/>
        </w:trPr>
        <w:tc>
          <w:tcPr>
            <w:tcW w:w="2358" w:type="dxa"/>
            <w:shd w:val="clear" w:color="auto" w:fill="E2EFD9" w:themeFill="accent6" w:themeFillTint="33"/>
          </w:tcPr>
          <w:p w14:paraId="6CFA8358" w14:textId="09C4DC6B" w:rsidR="00D91C65" w:rsidRPr="00547A72" w:rsidRDefault="00D91C65">
            <w:pPr>
              <w:rPr>
                <w:rFonts w:ascii="Verdana" w:hAnsi="Verdana"/>
                <w:b/>
                <w:bCs/>
              </w:rPr>
            </w:pPr>
            <w:r w:rsidRPr="00547A72">
              <w:rPr>
                <w:rFonts w:ascii="Verdana" w:hAnsi="Verdana"/>
                <w:b/>
                <w:bCs/>
              </w:rPr>
              <w:t>BUND</w:t>
            </w:r>
          </w:p>
        </w:tc>
        <w:tc>
          <w:tcPr>
            <w:tcW w:w="1710" w:type="dxa"/>
            <w:shd w:val="clear" w:color="auto" w:fill="FFD966" w:themeFill="accent4" w:themeFillTint="99"/>
          </w:tcPr>
          <w:p w14:paraId="618DC2D3" w14:textId="12995803" w:rsidR="00D91C65" w:rsidRPr="00547A72" w:rsidRDefault="00F446D4">
            <w:pPr>
              <w:rPr>
                <w:rFonts w:ascii="Verdana" w:hAnsi="Verdana"/>
                <w:b/>
                <w:bCs/>
              </w:rPr>
            </w:pPr>
            <w:r>
              <w:rPr>
                <w:rFonts w:ascii="Verdana" w:hAnsi="Verdana"/>
                <w:b/>
                <w:bCs/>
              </w:rPr>
              <w:t>buy</w:t>
            </w:r>
          </w:p>
        </w:tc>
        <w:tc>
          <w:tcPr>
            <w:tcW w:w="2635" w:type="dxa"/>
            <w:shd w:val="clear" w:color="auto" w:fill="C9C9C9" w:themeFill="accent3" w:themeFillTint="99"/>
          </w:tcPr>
          <w:p w14:paraId="1677FC3C" w14:textId="239C3473" w:rsidR="00D91C65" w:rsidRPr="00547A72" w:rsidRDefault="00D91C65">
            <w:pPr>
              <w:rPr>
                <w:rFonts w:ascii="Verdana" w:hAnsi="Verdana"/>
                <w:b/>
                <w:bCs/>
              </w:rPr>
            </w:pPr>
            <w:r w:rsidRPr="005644C5">
              <w:rPr>
                <w:rFonts w:ascii="Verdana" w:hAnsi="Verdana"/>
                <w:b/>
                <w:bCs/>
                <w:sz w:val="20"/>
                <w:szCs w:val="20"/>
              </w:rPr>
              <w:t>1</w:t>
            </w:r>
            <w:r w:rsidR="005644C5" w:rsidRPr="005644C5">
              <w:rPr>
                <w:rFonts w:ascii="Verdana" w:hAnsi="Verdana"/>
                <w:b/>
                <w:bCs/>
                <w:sz w:val="20"/>
                <w:szCs w:val="20"/>
              </w:rPr>
              <w:t>29</w:t>
            </w:r>
            <w:r w:rsidRPr="005644C5">
              <w:rPr>
                <w:rFonts w:ascii="Verdana" w:hAnsi="Verdana"/>
                <w:b/>
                <w:bCs/>
                <w:sz w:val="20"/>
                <w:szCs w:val="20"/>
              </w:rPr>
              <w:t>,</w:t>
            </w:r>
            <w:r w:rsidR="005644C5" w:rsidRPr="005644C5">
              <w:rPr>
                <w:rFonts w:ascii="Verdana" w:hAnsi="Verdana"/>
                <w:b/>
                <w:bCs/>
                <w:sz w:val="20"/>
                <w:szCs w:val="20"/>
              </w:rPr>
              <w:t>50</w:t>
            </w:r>
            <w:r w:rsidRPr="005644C5">
              <w:rPr>
                <w:rFonts w:ascii="Verdana" w:hAnsi="Verdana"/>
                <w:b/>
                <w:bCs/>
                <w:sz w:val="20"/>
                <w:szCs w:val="20"/>
              </w:rPr>
              <w:t>/13</w:t>
            </w:r>
            <w:r w:rsidR="005644C5" w:rsidRPr="005644C5">
              <w:rPr>
                <w:rFonts w:ascii="Verdana" w:hAnsi="Verdana"/>
                <w:b/>
                <w:bCs/>
                <w:sz w:val="20"/>
                <w:szCs w:val="20"/>
              </w:rPr>
              <w:t>1,26/134</w:t>
            </w:r>
          </w:p>
        </w:tc>
        <w:tc>
          <w:tcPr>
            <w:tcW w:w="1526" w:type="dxa"/>
            <w:shd w:val="clear" w:color="auto" w:fill="FFF2CC" w:themeFill="accent4" w:themeFillTint="33"/>
          </w:tcPr>
          <w:p w14:paraId="2FC7B3DA" w14:textId="5AE768C3" w:rsidR="00D91C65" w:rsidRPr="00107B03" w:rsidRDefault="00F446D4">
            <w:pPr>
              <w:rPr>
                <w:rFonts w:ascii="Verdana" w:hAnsi="Verdana"/>
                <w:b/>
                <w:bCs/>
              </w:rPr>
            </w:pPr>
            <w:r>
              <w:rPr>
                <w:rFonts w:ascii="Verdana" w:hAnsi="Verdana"/>
                <w:b/>
                <w:bCs/>
              </w:rPr>
              <w:t>buy</w:t>
            </w:r>
          </w:p>
        </w:tc>
        <w:tc>
          <w:tcPr>
            <w:tcW w:w="1547" w:type="dxa"/>
            <w:shd w:val="clear" w:color="auto" w:fill="C9C9C9" w:themeFill="accent3" w:themeFillTint="99"/>
          </w:tcPr>
          <w:p w14:paraId="17FBD741" w14:textId="64880F33" w:rsidR="00D91C65" w:rsidRDefault="00F446D4">
            <w:pPr>
              <w:rPr>
                <w:rFonts w:ascii="Verdana" w:hAnsi="Verdana"/>
                <w:b/>
                <w:bCs/>
              </w:rPr>
            </w:pPr>
            <w:r>
              <w:rPr>
                <w:rFonts w:ascii="Verdana" w:hAnsi="Verdana"/>
                <w:b/>
                <w:bCs/>
              </w:rPr>
              <w:t>accumulate</w:t>
            </w:r>
          </w:p>
        </w:tc>
      </w:tr>
      <w:tr w:rsidR="00D91C65" w:rsidRPr="00547A72" w14:paraId="540DF590" w14:textId="337D984E" w:rsidTr="00D91C65">
        <w:trPr>
          <w:trHeight w:val="535"/>
        </w:trPr>
        <w:tc>
          <w:tcPr>
            <w:tcW w:w="2358" w:type="dxa"/>
            <w:shd w:val="clear" w:color="auto" w:fill="E2EFD9" w:themeFill="accent6" w:themeFillTint="33"/>
          </w:tcPr>
          <w:p w14:paraId="69CCBD96" w14:textId="24DA0EE9" w:rsidR="00D91C65" w:rsidRPr="00916AB1" w:rsidRDefault="00D91C65">
            <w:pPr>
              <w:rPr>
                <w:rFonts w:ascii="Verdana" w:hAnsi="Verdana"/>
                <w:b/>
              </w:rPr>
            </w:pPr>
            <w:r w:rsidRPr="00916AB1">
              <w:rPr>
                <w:rFonts w:ascii="Verdana" w:hAnsi="Verdan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WTI OIL</w:t>
            </w:r>
          </w:p>
        </w:tc>
        <w:tc>
          <w:tcPr>
            <w:tcW w:w="1710" w:type="dxa"/>
            <w:shd w:val="clear" w:color="auto" w:fill="FFD966" w:themeFill="accent4" w:themeFillTint="99"/>
          </w:tcPr>
          <w:p w14:paraId="6E92226B" w14:textId="5C470938" w:rsidR="00D91C65" w:rsidRPr="00547A72" w:rsidRDefault="001F5743">
            <w:pPr>
              <w:rPr>
                <w:rFonts w:ascii="Verdana" w:hAnsi="Verdana"/>
                <w:b/>
                <w:bCs/>
              </w:rPr>
            </w:pPr>
            <w:r>
              <w:rPr>
                <w:rFonts w:ascii="Verdana" w:hAnsi="Verdana"/>
                <w:b/>
                <w:bCs/>
              </w:rPr>
              <w:t>buy</w:t>
            </w:r>
          </w:p>
        </w:tc>
        <w:tc>
          <w:tcPr>
            <w:tcW w:w="2635" w:type="dxa"/>
            <w:shd w:val="clear" w:color="auto" w:fill="C9C9C9" w:themeFill="accent3" w:themeFillTint="99"/>
          </w:tcPr>
          <w:p w14:paraId="773F5788" w14:textId="3D753012" w:rsidR="00D91C65" w:rsidRPr="00547A72" w:rsidRDefault="00D91C65">
            <w:pPr>
              <w:rPr>
                <w:rFonts w:ascii="Verdana" w:hAnsi="Verdana"/>
                <w:b/>
                <w:bCs/>
              </w:rPr>
            </w:pPr>
            <w:r>
              <w:rPr>
                <w:rFonts w:ascii="Verdana" w:hAnsi="Verdana"/>
                <w:b/>
                <w:bCs/>
              </w:rPr>
              <w:t>7</w:t>
            </w:r>
            <w:r w:rsidR="001F5743">
              <w:rPr>
                <w:rFonts w:ascii="Verdana" w:hAnsi="Verdana"/>
                <w:b/>
                <w:bCs/>
              </w:rPr>
              <w:t>2</w:t>
            </w:r>
            <w:r>
              <w:rPr>
                <w:rFonts w:ascii="Verdana" w:hAnsi="Verdana"/>
                <w:b/>
                <w:bCs/>
              </w:rPr>
              <w:t>/</w:t>
            </w:r>
            <w:r w:rsidR="001F5743">
              <w:rPr>
                <w:rFonts w:ascii="Verdana" w:hAnsi="Verdana"/>
                <w:b/>
                <w:bCs/>
              </w:rPr>
              <w:t>8</w:t>
            </w:r>
            <w:r>
              <w:rPr>
                <w:rFonts w:ascii="Verdana" w:hAnsi="Verdana"/>
                <w:b/>
                <w:bCs/>
              </w:rPr>
              <w:t>0</w:t>
            </w:r>
          </w:p>
        </w:tc>
        <w:tc>
          <w:tcPr>
            <w:tcW w:w="1526" w:type="dxa"/>
            <w:shd w:val="clear" w:color="auto" w:fill="FFF2CC" w:themeFill="accent4" w:themeFillTint="33"/>
          </w:tcPr>
          <w:p w14:paraId="3BF4AAB1" w14:textId="64CA3E87" w:rsidR="00D91C65" w:rsidRPr="00547A72" w:rsidRDefault="00F446D4">
            <w:pPr>
              <w:rPr>
                <w:rFonts w:ascii="Verdana" w:hAnsi="Verdana"/>
                <w:b/>
                <w:bCs/>
              </w:rPr>
            </w:pPr>
            <w:r>
              <w:rPr>
                <w:rFonts w:ascii="Verdana" w:hAnsi="Verdana"/>
                <w:b/>
                <w:bCs/>
              </w:rPr>
              <w:t>wait</w:t>
            </w:r>
          </w:p>
        </w:tc>
        <w:tc>
          <w:tcPr>
            <w:tcW w:w="1547" w:type="dxa"/>
            <w:shd w:val="clear" w:color="auto" w:fill="C9C9C9" w:themeFill="accent3" w:themeFillTint="99"/>
          </w:tcPr>
          <w:p w14:paraId="7448C1F3" w14:textId="041567BB" w:rsidR="00D91C65" w:rsidRDefault="001F5743">
            <w:pPr>
              <w:rPr>
                <w:rFonts w:ascii="Verdana" w:hAnsi="Verdana"/>
                <w:b/>
                <w:bCs/>
              </w:rPr>
            </w:pPr>
            <w:r>
              <w:rPr>
                <w:rFonts w:ascii="Verdana" w:hAnsi="Verdana"/>
                <w:b/>
                <w:bCs/>
              </w:rPr>
              <w:t>accumulate</w:t>
            </w:r>
          </w:p>
        </w:tc>
      </w:tr>
      <w:tr w:rsidR="00D91C65" w:rsidRPr="00547A72" w14:paraId="761F8992" w14:textId="26456A69" w:rsidTr="00D91C65">
        <w:trPr>
          <w:trHeight w:val="535"/>
        </w:trPr>
        <w:tc>
          <w:tcPr>
            <w:tcW w:w="2358" w:type="dxa"/>
            <w:shd w:val="clear" w:color="auto" w:fill="E2EFD9" w:themeFill="accent6" w:themeFillTint="33"/>
          </w:tcPr>
          <w:p w14:paraId="36928A94" w14:textId="6AD4AEB7" w:rsidR="00D91C65" w:rsidRPr="00547A72" w:rsidRDefault="00D91C65">
            <w:pPr>
              <w:rPr>
                <w:rFonts w:ascii="Verdana" w:hAnsi="Verdana"/>
                <w:b/>
                <w:bCs/>
              </w:rPr>
            </w:pPr>
            <w:r w:rsidRPr="00547A72">
              <w:rPr>
                <w:rFonts w:ascii="Verdana" w:hAnsi="Verdana"/>
                <w:b/>
                <w:bCs/>
              </w:rPr>
              <w:t>DAX</w:t>
            </w:r>
          </w:p>
        </w:tc>
        <w:tc>
          <w:tcPr>
            <w:tcW w:w="1710" w:type="dxa"/>
            <w:shd w:val="clear" w:color="auto" w:fill="FFD966" w:themeFill="accent4" w:themeFillTint="99"/>
          </w:tcPr>
          <w:p w14:paraId="2EDB0D82" w14:textId="6A57A2C7" w:rsidR="00D91C65" w:rsidRPr="00547A72" w:rsidRDefault="001E5156">
            <w:pPr>
              <w:rPr>
                <w:rFonts w:ascii="Verdana" w:hAnsi="Verdana"/>
                <w:b/>
                <w:bCs/>
              </w:rPr>
            </w:pPr>
            <w:r>
              <w:rPr>
                <w:rFonts w:ascii="Verdana" w:hAnsi="Verdana"/>
                <w:b/>
                <w:bCs/>
              </w:rPr>
              <w:t>sell</w:t>
            </w:r>
          </w:p>
        </w:tc>
        <w:tc>
          <w:tcPr>
            <w:tcW w:w="2635" w:type="dxa"/>
            <w:shd w:val="clear" w:color="auto" w:fill="C9C9C9" w:themeFill="accent3" w:themeFillTint="99"/>
          </w:tcPr>
          <w:p w14:paraId="24A2017B" w14:textId="066B218C" w:rsidR="00D91C65" w:rsidRPr="00547A72" w:rsidRDefault="00D91C65">
            <w:pPr>
              <w:rPr>
                <w:rFonts w:ascii="Verdana" w:hAnsi="Verdana"/>
                <w:b/>
                <w:bCs/>
              </w:rPr>
            </w:pPr>
            <w:r>
              <w:rPr>
                <w:rFonts w:ascii="Verdana" w:hAnsi="Verdana"/>
                <w:b/>
                <w:bCs/>
              </w:rPr>
              <w:t>1</w:t>
            </w:r>
            <w:r w:rsidR="00916AB1">
              <w:rPr>
                <w:rFonts w:ascii="Verdana" w:hAnsi="Verdana"/>
                <w:b/>
                <w:bCs/>
              </w:rPr>
              <w:t>85</w:t>
            </w:r>
            <w:r>
              <w:rPr>
                <w:rFonts w:ascii="Verdana" w:hAnsi="Verdana"/>
                <w:b/>
                <w:bCs/>
              </w:rPr>
              <w:t>00/1</w:t>
            </w:r>
            <w:r w:rsidR="00916AB1">
              <w:rPr>
                <w:rFonts w:ascii="Verdana" w:hAnsi="Verdana"/>
                <w:b/>
                <w:bCs/>
              </w:rPr>
              <w:t>9</w:t>
            </w:r>
            <w:r>
              <w:rPr>
                <w:rFonts w:ascii="Verdana" w:hAnsi="Verdana"/>
                <w:b/>
                <w:bCs/>
              </w:rPr>
              <w:t>000</w:t>
            </w:r>
          </w:p>
        </w:tc>
        <w:tc>
          <w:tcPr>
            <w:tcW w:w="1526" w:type="dxa"/>
            <w:shd w:val="clear" w:color="auto" w:fill="FFF2CC" w:themeFill="accent4" w:themeFillTint="33"/>
          </w:tcPr>
          <w:p w14:paraId="5BD3E9E5" w14:textId="4BF18835" w:rsidR="00D91C65" w:rsidRPr="00547A72" w:rsidRDefault="00D91C65">
            <w:pPr>
              <w:rPr>
                <w:rFonts w:ascii="Verdana" w:hAnsi="Verdana"/>
                <w:b/>
                <w:bCs/>
              </w:rPr>
            </w:pPr>
            <w:r>
              <w:rPr>
                <w:rFonts w:ascii="Verdana" w:hAnsi="Verdana"/>
                <w:b/>
                <w:bCs/>
              </w:rPr>
              <w:t>short</w:t>
            </w:r>
          </w:p>
        </w:tc>
        <w:tc>
          <w:tcPr>
            <w:tcW w:w="1547" w:type="dxa"/>
            <w:shd w:val="clear" w:color="auto" w:fill="C9C9C9" w:themeFill="accent3" w:themeFillTint="99"/>
          </w:tcPr>
          <w:p w14:paraId="500FFD9C" w14:textId="09B43710" w:rsidR="00D91C65" w:rsidRDefault="00916AB1">
            <w:pPr>
              <w:rPr>
                <w:rFonts w:ascii="Verdana" w:hAnsi="Verdana"/>
                <w:b/>
                <w:bCs/>
              </w:rPr>
            </w:pPr>
            <w:r>
              <w:rPr>
                <w:rFonts w:ascii="Verdana" w:hAnsi="Verdana"/>
                <w:b/>
                <w:bCs/>
              </w:rPr>
              <w:t>distribuzione</w:t>
            </w:r>
          </w:p>
        </w:tc>
      </w:tr>
      <w:tr w:rsidR="00D91C65" w:rsidRPr="00547A72" w14:paraId="156FF85B" w14:textId="10811DBF" w:rsidTr="00D91C65">
        <w:trPr>
          <w:trHeight w:val="535"/>
        </w:trPr>
        <w:tc>
          <w:tcPr>
            <w:tcW w:w="2358" w:type="dxa"/>
            <w:shd w:val="clear" w:color="auto" w:fill="E2EFD9" w:themeFill="accent6" w:themeFillTint="33"/>
          </w:tcPr>
          <w:p w14:paraId="32EDA797" w14:textId="0714A9AE" w:rsidR="00D91C65" w:rsidRPr="00547A72" w:rsidRDefault="00D91C65">
            <w:pPr>
              <w:rPr>
                <w:rFonts w:ascii="Verdana" w:hAnsi="Verdana"/>
                <w:b/>
                <w:bCs/>
              </w:rPr>
            </w:pPr>
            <w:r w:rsidRPr="00547A72">
              <w:rPr>
                <w:rFonts w:ascii="Verdana" w:hAnsi="Verdana"/>
                <w:b/>
                <w:bCs/>
              </w:rPr>
              <w:t>EUROSTOXX50</w:t>
            </w:r>
          </w:p>
        </w:tc>
        <w:tc>
          <w:tcPr>
            <w:tcW w:w="1710" w:type="dxa"/>
            <w:shd w:val="clear" w:color="auto" w:fill="FFD966" w:themeFill="accent4" w:themeFillTint="99"/>
          </w:tcPr>
          <w:p w14:paraId="624327F1" w14:textId="3711F683" w:rsidR="00D91C65" w:rsidRPr="00547A72" w:rsidRDefault="000C539F">
            <w:pPr>
              <w:rPr>
                <w:rFonts w:ascii="Verdana" w:hAnsi="Verdana"/>
                <w:b/>
                <w:bCs/>
              </w:rPr>
            </w:pPr>
            <w:r>
              <w:rPr>
                <w:rFonts w:ascii="Verdana" w:hAnsi="Verdana"/>
                <w:b/>
                <w:bCs/>
              </w:rPr>
              <w:t>sell</w:t>
            </w:r>
          </w:p>
        </w:tc>
        <w:tc>
          <w:tcPr>
            <w:tcW w:w="2635" w:type="dxa"/>
            <w:shd w:val="clear" w:color="auto" w:fill="C9C9C9" w:themeFill="accent3" w:themeFillTint="99"/>
          </w:tcPr>
          <w:p w14:paraId="45602B75" w14:textId="10483074" w:rsidR="00D91C65" w:rsidRPr="00547A72" w:rsidRDefault="00D91C65">
            <w:pPr>
              <w:rPr>
                <w:rFonts w:ascii="Verdana" w:hAnsi="Verdana"/>
                <w:b/>
                <w:bCs/>
              </w:rPr>
            </w:pPr>
            <w:r>
              <w:rPr>
                <w:rFonts w:ascii="Verdana" w:hAnsi="Verdana"/>
                <w:b/>
                <w:bCs/>
              </w:rPr>
              <w:t>4</w:t>
            </w:r>
            <w:r w:rsidR="00916AB1">
              <w:rPr>
                <w:rFonts w:ascii="Verdana" w:hAnsi="Verdana"/>
                <w:b/>
                <w:bCs/>
              </w:rPr>
              <w:t>9</w:t>
            </w:r>
            <w:r>
              <w:rPr>
                <w:rFonts w:ascii="Verdana" w:hAnsi="Verdana"/>
                <w:b/>
                <w:bCs/>
              </w:rPr>
              <w:t>00/</w:t>
            </w:r>
            <w:r w:rsidR="00916AB1">
              <w:rPr>
                <w:rFonts w:ascii="Verdana" w:hAnsi="Verdana"/>
                <w:b/>
                <w:bCs/>
              </w:rPr>
              <w:t>512</w:t>
            </w:r>
            <w:r>
              <w:rPr>
                <w:rFonts w:ascii="Verdana" w:hAnsi="Verdana"/>
                <w:b/>
                <w:bCs/>
              </w:rPr>
              <w:t>0</w:t>
            </w:r>
          </w:p>
        </w:tc>
        <w:tc>
          <w:tcPr>
            <w:tcW w:w="1526" w:type="dxa"/>
            <w:shd w:val="clear" w:color="auto" w:fill="FFF2CC" w:themeFill="accent4" w:themeFillTint="33"/>
          </w:tcPr>
          <w:p w14:paraId="60ABA10C" w14:textId="5F3EEEA0" w:rsidR="00D91C65" w:rsidRPr="00547A72" w:rsidRDefault="00D91C65">
            <w:pPr>
              <w:rPr>
                <w:rFonts w:ascii="Verdana" w:hAnsi="Verdana"/>
                <w:b/>
                <w:bCs/>
              </w:rPr>
            </w:pPr>
            <w:r>
              <w:rPr>
                <w:rFonts w:ascii="Verdana" w:hAnsi="Verdana"/>
                <w:b/>
                <w:bCs/>
              </w:rPr>
              <w:t>short</w:t>
            </w:r>
          </w:p>
        </w:tc>
        <w:tc>
          <w:tcPr>
            <w:tcW w:w="1547" w:type="dxa"/>
            <w:shd w:val="clear" w:color="auto" w:fill="C9C9C9" w:themeFill="accent3" w:themeFillTint="99"/>
          </w:tcPr>
          <w:p w14:paraId="445ED438" w14:textId="411B2996" w:rsidR="00D91C65" w:rsidRDefault="00916AB1">
            <w:pPr>
              <w:rPr>
                <w:rFonts w:ascii="Verdana" w:hAnsi="Verdana"/>
                <w:b/>
                <w:bCs/>
              </w:rPr>
            </w:pPr>
            <w:r>
              <w:rPr>
                <w:rFonts w:ascii="Verdana" w:hAnsi="Verdana"/>
                <w:b/>
                <w:bCs/>
              </w:rPr>
              <w:t>distribuzione</w:t>
            </w:r>
          </w:p>
        </w:tc>
      </w:tr>
      <w:tr w:rsidR="00D91C65" w:rsidRPr="00547A72" w14:paraId="2CEADB43" w14:textId="05004C27" w:rsidTr="00D91C65">
        <w:trPr>
          <w:trHeight w:val="535"/>
        </w:trPr>
        <w:tc>
          <w:tcPr>
            <w:tcW w:w="2358" w:type="dxa"/>
            <w:shd w:val="clear" w:color="auto" w:fill="E2EFD9" w:themeFill="accent6" w:themeFillTint="33"/>
          </w:tcPr>
          <w:p w14:paraId="03976E2A" w14:textId="264CE412" w:rsidR="00D91C65" w:rsidRPr="00547A72" w:rsidRDefault="00D91C65">
            <w:pPr>
              <w:rPr>
                <w:rFonts w:ascii="Verdana" w:hAnsi="Verdana"/>
                <w:b/>
                <w:bCs/>
              </w:rPr>
            </w:pPr>
            <w:r w:rsidRPr="00547A72">
              <w:rPr>
                <w:rFonts w:ascii="Verdana" w:hAnsi="Verdana"/>
                <w:b/>
                <w:bCs/>
              </w:rPr>
              <w:t>NASDAQ</w:t>
            </w:r>
          </w:p>
        </w:tc>
        <w:tc>
          <w:tcPr>
            <w:tcW w:w="1710" w:type="dxa"/>
            <w:shd w:val="clear" w:color="auto" w:fill="FFD966" w:themeFill="accent4" w:themeFillTint="99"/>
          </w:tcPr>
          <w:p w14:paraId="6369F016" w14:textId="2794E80A" w:rsidR="00D91C65" w:rsidRPr="00547A72" w:rsidRDefault="004B5259">
            <w:pPr>
              <w:rPr>
                <w:rFonts w:ascii="Verdana" w:hAnsi="Verdana"/>
                <w:b/>
                <w:bCs/>
              </w:rPr>
            </w:pPr>
            <w:r>
              <w:rPr>
                <w:rFonts w:ascii="Verdana" w:hAnsi="Verdana"/>
                <w:b/>
                <w:bCs/>
              </w:rPr>
              <w:t>buy</w:t>
            </w:r>
          </w:p>
        </w:tc>
        <w:tc>
          <w:tcPr>
            <w:tcW w:w="2635" w:type="dxa"/>
            <w:shd w:val="clear" w:color="auto" w:fill="C9C9C9" w:themeFill="accent3" w:themeFillTint="99"/>
          </w:tcPr>
          <w:p w14:paraId="722C69FC" w14:textId="4D8053B2" w:rsidR="00D91C65" w:rsidRPr="00547A72" w:rsidRDefault="00D91C65">
            <w:pPr>
              <w:rPr>
                <w:rFonts w:ascii="Verdana" w:hAnsi="Verdana"/>
                <w:b/>
                <w:bCs/>
              </w:rPr>
            </w:pPr>
            <w:r>
              <w:rPr>
                <w:rFonts w:ascii="Verdana" w:hAnsi="Verdana"/>
                <w:b/>
                <w:bCs/>
              </w:rPr>
              <w:t>1</w:t>
            </w:r>
            <w:r w:rsidR="004B5259">
              <w:rPr>
                <w:rFonts w:ascii="Verdana" w:hAnsi="Verdana"/>
                <w:b/>
                <w:bCs/>
              </w:rPr>
              <w:t>85</w:t>
            </w:r>
            <w:r>
              <w:rPr>
                <w:rFonts w:ascii="Verdana" w:hAnsi="Verdana"/>
                <w:b/>
                <w:bCs/>
              </w:rPr>
              <w:t>00/1</w:t>
            </w:r>
            <w:r w:rsidR="004B5259">
              <w:rPr>
                <w:rFonts w:ascii="Verdana" w:hAnsi="Verdana"/>
                <w:b/>
                <w:bCs/>
              </w:rPr>
              <w:t>9</w:t>
            </w:r>
            <w:r>
              <w:rPr>
                <w:rFonts w:ascii="Verdana" w:hAnsi="Verdana"/>
                <w:b/>
                <w:bCs/>
              </w:rPr>
              <w:t>500</w:t>
            </w:r>
          </w:p>
        </w:tc>
        <w:tc>
          <w:tcPr>
            <w:tcW w:w="1526" w:type="dxa"/>
            <w:shd w:val="clear" w:color="auto" w:fill="FFF2CC" w:themeFill="accent4" w:themeFillTint="33"/>
          </w:tcPr>
          <w:p w14:paraId="5C15BA3E" w14:textId="1D9B66FE" w:rsidR="00D91C65" w:rsidRPr="00547A72" w:rsidRDefault="004B5259">
            <w:pPr>
              <w:rPr>
                <w:rFonts w:ascii="Verdana" w:hAnsi="Verdana"/>
                <w:b/>
                <w:bCs/>
              </w:rPr>
            </w:pPr>
            <w:r>
              <w:rPr>
                <w:rFonts w:ascii="Verdana" w:hAnsi="Verdana"/>
                <w:b/>
                <w:bCs/>
              </w:rPr>
              <w:t>long</w:t>
            </w:r>
          </w:p>
        </w:tc>
        <w:tc>
          <w:tcPr>
            <w:tcW w:w="1547" w:type="dxa"/>
            <w:shd w:val="clear" w:color="auto" w:fill="C9C9C9" w:themeFill="accent3" w:themeFillTint="99"/>
          </w:tcPr>
          <w:p w14:paraId="7776258B" w14:textId="6C63FD88" w:rsidR="00D91C65" w:rsidRDefault="00D72555">
            <w:pPr>
              <w:rPr>
                <w:rFonts w:ascii="Verdana" w:hAnsi="Verdana"/>
                <w:b/>
                <w:bCs/>
              </w:rPr>
            </w:pPr>
            <w:r>
              <w:rPr>
                <w:rFonts w:ascii="Verdana" w:hAnsi="Verdana"/>
                <w:b/>
                <w:bCs/>
              </w:rPr>
              <w:t>distribuzione</w:t>
            </w:r>
          </w:p>
        </w:tc>
      </w:tr>
      <w:tr w:rsidR="00D91C65" w:rsidRPr="00547A72" w14:paraId="21F6753C" w14:textId="0A8B3A3D" w:rsidTr="00D91C65">
        <w:trPr>
          <w:trHeight w:val="535"/>
        </w:trPr>
        <w:tc>
          <w:tcPr>
            <w:tcW w:w="2358" w:type="dxa"/>
            <w:shd w:val="clear" w:color="auto" w:fill="E2EFD9" w:themeFill="accent6" w:themeFillTint="33"/>
          </w:tcPr>
          <w:p w14:paraId="48EA76C6" w14:textId="5E876CF1" w:rsidR="00D91C65" w:rsidRPr="00547A72" w:rsidRDefault="00D91C65">
            <w:pPr>
              <w:rPr>
                <w:rFonts w:ascii="Verdana" w:hAnsi="Verdana"/>
                <w:b/>
                <w:bCs/>
              </w:rPr>
            </w:pPr>
            <w:r w:rsidRPr="00547A72">
              <w:rPr>
                <w:rFonts w:ascii="Verdana" w:hAnsi="Verdana"/>
                <w:b/>
                <w:bCs/>
              </w:rPr>
              <w:t>S&amp;P500</w:t>
            </w:r>
          </w:p>
        </w:tc>
        <w:tc>
          <w:tcPr>
            <w:tcW w:w="1710" w:type="dxa"/>
            <w:shd w:val="clear" w:color="auto" w:fill="FFD966" w:themeFill="accent4" w:themeFillTint="99"/>
          </w:tcPr>
          <w:p w14:paraId="65DB772C" w14:textId="7944F4AE" w:rsidR="00D91C65" w:rsidRPr="00547A72" w:rsidRDefault="004B5259">
            <w:pPr>
              <w:rPr>
                <w:rFonts w:ascii="Verdana" w:hAnsi="Verdana"/>
                <w:b/>
                <w:bCs/>
              </w:rPr>
            </w:pPr>
            <w:r>
              <w:rPr>
                <w:rFonts w:ascii="Verdana" w:hAnsi="Verdana"/>
                <w:b/>
                <w:bCs/>
              </w:rPr>
              <w:t>buy</w:t>
            </w:r>
          </w:p>
        </w:tc>
        <w:tc>
          <w:tcPr>
            <w:tcW w:w="2635" w:type="dxa"/>
            <w:shd w:val="clear" w:color="auto" w:fill="C9C9C9" w:themeFill="accent3" w:themeFillTint="99"/>
          </w:tcPr>
          <w:p w14:paraId="2F77CCBF" w14:textId="121B3F40" w:rsidR="00D91C65" w:rsidRPr="00547A72" w:rsidRDefault="00D91C65">
            <w:pPr>
              <w:rPr>
                <w:rFonts w:ascii="Verdana" w:hAnsi="Verdana"/>
                <w:b/>
                <w:bCs/>
              </w:rPr>
            </w:pPr>
            <w:r>
              <w:rPr>
                <w:rFonts w:ascii="Verdana" w:hAnsi="Verdana"/>
                <w:b/>
                <w:bCs/>
              </w:rPr>
              <w:t>5</w:t>
            </w:r>
            <w:r w:rsidR="004B5259">
              <w:rPr>
                <w:rFonts w:ascii="Verdana" w:hAnsi="Verdana"/>
                <w:b/>
                <w:bCs/>
              </w:rPr>
              <w:t>250</w:t>
            </w:r>
            <w:r>
              <w:rPr>
                <w:rFonts w:ascii="Verdana" w:hAnsi="Verdana"/>
                <w:b/>
                <w:bCs/>
              </w:rPr>
              <w:t>/5</w:t>
            </w:r>
            <w:r w:rsidR="004B5259">
              <w:rPr>
                <w:rFonts w:ascii="Verdana" w:hAnsi="Verdana"/>
                <w:b/>
                <w:bCs/>
              </w:rPr>
              <w:t>45</w:t>
            </w:r>
            <w:r>
              <w:rPr>
                <w:rFonts w:ascii="Verdana" w:hAnsi="Verdana"/>
                <w:b/>
                <w:bCs/>
              </w:rPr>
              <w:t>0</w:t>
            </w:r>
          </w:p>
        </w:tc>
        <w:tc>
          <w:tcPr>
            <w:tcW w:w="1526" w:type="dxa"/>
            <w:shd w:val="clear" w:color="auto" w:fill="FFF2CC" w:themeFill="accent4" w:themeFillTint="33"/>
          </w:tcPr>
          <w:p w14:paraId="5CB0337C" w14:textId="316A7F43" w:rsidR="00D91C65" w:rsidRPr="00547A72" w:rsidRDefault="004B5259">
            <w:pPr>
              <w:rPr>
                <w:rFonts w:ascii="Verdana" w:hAnsi="Verdana"/>
                <w:b/>
                <w:bCs/>
              </w:rPr>
            </w:pPr>
            <w:r>
              <w:rPr>
                <w:rFonts w:ascii="Verdana" w:hAnsi="Verdana"/>
                <w:b/>
                <w:bCs/>
              </w:rPr>
              <w:t>long</w:t>
            </w:r>
          </w:p>
        </w:tc>
        <w:tc>
          <w:tcPr>
            <w:tcW w:w="1547" w:type="dxa"/>
            <w:shd w:val="clear" w:color="auto" w:fill="C9C9C9" w:themeFill="accent3" w:themeFillTint="99"/>
          </w:tcPr>
          <w:p w14:paraId="1A45E9A3" w14:textId="1A157ECD" w:rsidR="00D91C65" w:rsidRDefault="00EF3436">
            <w:pPr>
              <w:rPr>
                <w:rFonts w:ascii="Verdana" w:hAnsi="Verdana"/>
                <w:b/>
                <w:bCs/>
              </w:rPr>
            </w:pPr>
            <w:r>
              <w:rPr>
                <w:rFonts w:ascii="Verdana" w:hAnsi="Verdana"/>
                <w:b/>
                <w:bCs/>
              </w:rPr>
              <w:t>distribuzione</w:t>
            </w:r>
          </w:p>
        </w:tc>
      </w:tr>
      <w:tr w:rsidR="00D91C65" w:rsidRPr="00547A72" w14:paraId="36A73E7D" w14:textId="0720E3E4" w:rsidTr="00D91C65">
        <w:trPr>
          <w:trHeight w:val="577"/>
        </w:trPr>
        <w:tc>
          <w:tcPr>
            <w:tcW w:w="2358" w:type="dxa"/>
            <w:shd w:val="clear" w:color="auto" w:fill="E2EFD9" w:themeFill="accent6" w:themeFillTint="33"/>
          </w:tcPr>
          <w:p w14:paraId="06FC3AF8" w14:textId="1330B752" w:rsidR="00D91C65" w:rsidRPr="00547A72" w:rsidRDefault="00D91C65">
            <w:pPr>
              <w:rPr>
                <w:rFonts w:ascii="Verdana" w:hAnsi="Verdana"/>
                <w:b/>
                <w:bCs/>
              </w:rPr>
            </w:pPr>
            <w:r w:rsidRPr="00547A72">
              <w:rPr>
                <w:rFonts w:ascii="Verdana" w:hAnsi="Verdana"/>
                <w:b/>
                <w:bCs/>
              </w:rPr>
              <w:t>GOLD</w:t>
            </w:r>
          </w:p>
        </w:tc>
        <w:tc>
          <w:tcPr>
            <w:tcW w:w="1710" w:type="dxa"/>
            <w:shd w:val="clear" w:color="auto" w:fill="FFD966" w:themeFill="accent4" w:themeFillTint="99"/>
          </w:tcPr>
          <w:p w14:paraId="156EEA1A" w14:textId="1F901B1F" w:rsidR="00D91C65" w:rsidRPr="00547A72" w:rsidRDefault="00AB7598">
            <w:pPr>
              <w:rPr>
                <w:rFonts w:ascii="Verdana" w:hAnsi="Verdana"/>
                <w:b/>
                <w:bCs/>
              </w:rPr>
            </w:pPr>
            <w:r>
              <w:rPr>
                <w:rFonts w:ascii="Verdana" w:hAnsi="Verdana"/>
                <w:b/>
                <w:bCs/>
              </w:rPr>
              <w:t>L</w:t>
            </w:r>
            <w:r w:rsidR="00D91C65">
              <w:rPr>
                <w:rFonts w:ascii="Verdana" w:hAnsi="Verdana"/>
                <w:b/>
                <w:bCs/>
              </w:rPr>
              <w:t>aterale</w:t>
            </w:r>
            <w:r>
              <w:rPr>
                <w:rFonts w:ascii="Verdana" w:hAnsi="Verdana"/>
                <w:b/>
                <w:bCs/>
              </w:rPr>
              <w:t xml:space="preserve"> supporto</w:t>
            </w:r>
          </w:p>
        </w:tc>
        <w:tc>
          <w:tcPr>
            <w:tcW w:w="2635" w:type="dxa"/>
            <w:shd w:val="clear" w:color="auto" w:fill="C9C9C9" w:themeFill="accent3" w:themeFillTint="99"/>
          </w:tcPr>
          <w:p w14:paraId="5B17AF26" w14:textId="53F6BE4F" w:rsidR="00D91C65" w:rsidRPr="00547A72" w:rsidRDefault="00D91C65">
            <w:pPr>
              <w:rPr>
                <w:rFonts w:ascii="Verdana" w:hAnsi="Verdana"/>
                <w:b/>
                <w:bCs/>
              </w:rPr>
            </w:pPr>
            <w:r w:rsidRPr="00CE7C3F">
              <w:rPr>
                <w:rFonts w:ascii="Verdana" w:hAnsi="Verdana"/>
                <w:b/>
                <w:bCs/>
                <w:sz w:val="20"/>
                <w:szCs w:val="20"/>
              </w:rPr>
              <w:t>2</w:t>
            </w:r>
            <w:r w:rsidR="00AB7598" w:rsidRPr="00CE7C3F">
              <w:rPr>
                <w:rFonts w:ascii="Verdana" w:hAnsi="Verdana"/>
                <w:b/>
                <w:bCs/>
                <w:sz w:val="20"/>
                <w:szCs w:val="20"/>
              </w:rPr>
              <w:t>1</w:t>
            </w:r>
            <w:r w:rsidRPr="00CE7C3F">
              <w:rPr>
                <w:rFonts w:ascii="Verdana" w:hAnsi="Verdana"/>
                <w:b/>
                <w:bCs/>
                <w:sz w:val="20"/>
                <w:szCs w:val="20"/>
              </w:rPr>
              <w:t>80/22</w:t>
            </w:r>
            <w:r w:rsidR="00AB7598" w:rsidRPr="00CE7C3F">
              <w:rPr>
                <w:rFonts w:ascii="Verdana" w:hAnsi="Verdana"/>
                <w:b/>
                <w:bCs/>
                <w:sz w:val="20"/>
                <w:szCs w:val="20"/>
              </w:rPr>
              <w:t>8</w:t>
            </w:r>
            <w:r w:rsidRPr="00CE7C3F">
              <w:rPr>
                <w:rFonts w:ascii="Verdana" w:hAnsi="Verdana"/>
                <w:b/>
                <w:bCs/>
                <w:sz w:val="20"/>
                <w:szCs w:val="20"/>
              </w:rPr>
              <w:t>0/2417</w:t>
            </w:r>
          </w:p>
        </w:tc>
        <w:tc>
          <w:tcPr>
            <w:tcW w:w="1526" w:type="dxa"/>
            <w:shd w:val="clear" w:color="auto" w:fill="FFF2CC" w:themeFill="accent4" w:themeFillTint="33"/>
          </w:tcPr>
          <w:p w14:paraId="0B98F85C" w14:textId="2AB171FA" w:rsidR="00D91C65" w:rsidRPr="00547A72" w:rsidRDefault="004754B9">
            <w:pPr>
              <w:rPr>
                <w:rFonts w:ascii="Verdana" w:hAnsi="Verdana"/>
                <w:b/>
                <w:bCs/>
              </w:rPr>
            </w:pPr>
            <w:r>
              <w:rPr>
                <w:rFonts w:ascii="Verdana" w:hAnsi="Verdana"/>
                <w:b/>
                <w:bCs/>
              </w:rPr>
              <w:t>wait</w:t>
            </w:r>
          </w:p>
        </w:tc>
        <w:tc>
          <w:tcPr>
            <w:tcW w:w="1547" w:type="dxa"/>
            <w:shd w:val="clear" w:color="auto" w:fill="C9C9C9" w:themeFill="accent3" w:themeFillTint="99"/>
          </w:tcPr>
          <w:p w14:paraId="13D354DB" w14:textId="32616F08" w:rsidR="00D91C65" w:rsidRDefault="00AB7598">
            <w:pPr>
              <w:rPr>
                <w:rFonts w:ascii="Verdana" w:hAnsi="Verdana"/>
                <w:b/>
                <w:bCs/>
              </w:rPr>
            </w:pPr>
            <w:r>
              <w:rPr>
                <w:rFonts w:ascii="Verdana" w:hAnsi="Verdana"/>
                <w:b/>
                <w:bCs/>
              </w:rPr>
              <w:t>distribuzione</w:t>
            </w:r>
          </w:p>
        </w:tc>
      </w:tr>
      <w:tr w:rsidR="00D91C65" w:rsidRPr="00547A72" w14:paraId="28EDFAEC" w14:textId="2D6B23C9" w:rsidTr="00D91C65">
        <w:trPr>
          <w:trHeight w:val="535"/>
        </w:trPr>
        <w:tc>
          <w:tcPr>
            <w:tcW w:w="2358" w:type="dxa"/>
            <w:shd w:val="clear" w:color="auto" w:fill="E2EFD9" w:themeFill="accent6" w:themeFillTint="33"/>
          </w:tcPr>
          <w:p w14:paraId="13912D00" w14:textId="669B3B42" w:rsidR="00D91C65" w:rsidRPr="00547A72" w:rsidRDefault="00D91C65">
            <w:pPr>
              <w:rPr>
                <w:rFonts w:ascii="Verdana" w:hAnsi="Verdana"/>
                <w:b/>
                <w:bCs/>
              </w:rPr>
            </w:pPr>
            <w:r w:rsidRPr="00547A72">
              <w:rPr>
                <w:rFonts w:ascii="Verdana" w:hAnsi="Verdana"/>
                <w:b/>
                <w:bCs/>
              </w:rPr>
              <w:t>SILVER</w:t>
            </w:r>
          </w:p>
        </w:tc>
        <w:tc>
          <w:tcPr>
            <w:tcW w:w="1710" w:type="dxa"/>
            <w:shd w:val="clear" w:color="auto" w:fill="FFD966" w:themeFill="accent4" w:themeFillTint="99"/>
          </w:tcPr>
          <w:p w14:paraId="43781744" w14:textId="63D2FF87" w:rsidR="00D91C65" w:rsidRPr="00547A72" w:rsidRDefault="004754B9">
            <w:pPr>
              <w:rPr>
                <w:rFonts w:ascii="Verdana" w:hAnsi="Verdana"/>
                <w:b/>
                <w:bCs/>
              </w:rPr>
            </w:pPr>
            <w:r>
              <w:rPr>
                <w:rFonts w:ascii="Verdana" w:hAnsi="Verdana"/>
                <w:b/>
                <w:bCs/>
              </w:rPr>
              <w:t>sell</w:t>
            </w:r>
          </w:p>
        </w:tc>
        <w:tc>
          <w:tcPr>
            <w:tcW w:w="2635" w:type="dxa"/>
            <w:shd w:val="clear" w:color="auto" w:fill="C9C9C9" w:themeFill="accent3" w:themeFillTint="99"/>
          </w:tcPr>
          <w:p w14:paraId="7121635E" w14:textId="11C94A52" w:rsidR="00D91C65" w:rsidRPr="00547A72" w:rsidRDefault="00D91C65">
            <w:pPr>
              <w:rPr>
                <w:rFonts w:ascii="Verdana" w:hAnsi="Verdana"/>
                <w:b/>
                <w:bCs/>
              </w:rPr>
            </w:pPr>
            <w:r w:rsidRPr="00CE7C3F">
              <w:rPr>
                <w:rFonts w:ascii="Verdana" w:hAnsi="Verdana"/>
                <w:b/>
                <w:bCs/>
                <w:sz w:val="20"/>
                <w:szCs w:val="20"/>
              </w:rPr>
              <w:t>2</w:t>
            </w:r>
            <w:r w:rsidR="00AB7598" w:rsidRPr="00CE7C3F">
              <w:rPr>
                <w:rFonts w:ascii="Verdana" w:hAnsi="Verdana"/>
                <w:b/>
                <w:bCs/>
                <w:sz w:val="20"/>
                <w:szCs w:val="20"/>
              </w:rPr>
              <w:t>6,30/29,20</w:t>
            </w:r>
            <w:r w:rsidRPr="00CE7C3F">
              <w:rPr>
                <w:rFonts w:ascii="Verdana" w:hAnsi="Verdana"/>
                <w:b/>
                <w:bCs/>
                <w:sz w:val="20"/>
                <w:szCs w:val="20"/>
              </w:rPr>
              <w:t>/3</w:t>
            </w:r>
            <w:r w:rsidR="00AB7598" w:rsidRPr="00CE7C3F">
              <w:rPr>
                <w:rFonts w:ascii="Verdana" w:hAnsi="Verdana"/>
                <w:b/>
                <w:bCs/>
                <w:sz w:val="20"/>
                <w:szCs w:val="20"/>
              </w:rPr>
              <w:t>2,5</w:t>
            </w:r>
          </w:p>
        </w:tc>
        <w:tc>
          <w:tcPr>
            <w:tcW w:w="1526" w:type="dxa"/>
            <w:shd w:val="clear" w:color="auto" w:fill="FFF2CC" w:themeFill="accent4" w:themeFillTint="33"/>
          </w:tcPr>
          <w:p w14:paraId="76D5F14A" w14:textId="2EB02D1D" w:rsidR="00D91C65" w:rsidRPr="00E90A69" w:rsidRDefault="00D91C65">
            <w:pPr>
              <w:rPr>
                <w:rFonts w:ascii="Verdana" w:hAnsi="Verdana"/>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1C65">
              <w:rPr>
                <w:rFonts w:ascii="Verdana" w:hAnsi="Verdana"/>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short</w:t>
            </w:r>
          </w:p>
        </w:tc>
        <w:tc>
          <w:tcPr>
            <w:tcW w:w="1547" w:type="dxa"/>
            <w:shd w:val="clear" w:color="auto" w:fill="C9C9C9" w:themeFill="accent3" w:themeFillTint="99"/>
          </w:tcPr>
          <w:p w14:paraId="0248A1C7" w14:textId="0E05325F" w:rsidR="00D91C65" w:rsidRPr="00E90A69" w:rsidRDefault="00AB7598">
            <w:pPr>
              <w:rPr>
                <w:rFonts w:ascii="Verdana" w:hAnsi="Verdana"/>
                <w:b/>
                <w:highlight w:val="dark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7598">
              <w:rPr>
                <w:rFonts w:ascii="Verdana" w:hAnsi="Verdana"/>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distribuzione</w:t>
            </w:r>
          </w:p>
        </w:tc>
      </w:tr>
      <w:tr w:rsidR="00D91C65" w:rsidRPr="00547A72" w14:paraId="44A0B043" w14:textId="3772F4E8" w:rsidTr="00D91C65">
        <w:trPr>
          <w:trHeight w:val="535"/>
        </w:trPr>
        <w:tc>
          <w:tcPr>
            <w:tcW w:w="2358" w:type="dxa"/>
            <w:shd w:val="clear" w:color="auto" w:fill="E2EFD9" w:themeFill="accent6" w:themeFillTint="33"/>
          </w:tcPr>
          <w:p w14:paraId="1C3E423B" w14:textId="5F55C1D1" w:rsidR="00D91C65" w:rsidRPr="00547A72" w:rsidRDefault="00D91C65">
            <w:pPr>
              <w:rPr>
                <w:rFonts w:ascii="Verdana" w:hAnsi="Verdana"/>
                <w:b/>
                <w:bCs/>
              </w:rPr>
            </w:pPr>
            <w:r w:rsidRPr="00547A72">
              <w:rPr>
                <w:rFonts w:ascii="Verdana" w:hAnsi="Verdana"/>
                <w:b/>
                <w:bCs/>
              </w:rPr>
              <w:t>€/$</w:t>
            </w:r>
          </w:p>
        </w:tc>
        <w:tc>
          <w:tcPr>
            <w:tcW w:w="1710" w:type="dxa"/>
            <w:shd w:val="clear" w:color="auto" w:fill="FFD966" w:themeFill="accent4" w:themeFillTint="99"/>
          </w:tcPr>
          <w:p w14:paraId="1B7F9300" w14:textId="3E4CD884" w:rsidR="00D91C65" w:rsidRPr="00547A72" w:rsidRDefault="00CE7C3F">
            <w:pPr>
              <w:rPr>
                <w:rFonts w:ascii="Verdana" w:hAnsi="Verdana"/>
                <w:b/>
                <w:bCs/>
              </w:rPr>
            </w:pPr>
            <w:r>
              <w:rPr>
                <w:rFonts w:ascii="Verdana" w:hAnsi="Verdana"/>
                <w:b/>
                <w:bCs/>
              </w:rPr>
              <w:t>sell</w:t>
            </w:r>
          </w:p>
        </w:tc>
        <w:tc>
          <w:tcPr>
            <w:tcW w:w="2635" w:type="dxa"/>
            <w:shd w:val="clear" w:color="auto" w:fill="C9C9C9" w:themeFill="accent3" w:themeFillTint="99"/>
          </w:tcPr>
          <w:p w14:paraId="08371802" w14:textId="50E4AC83" w:rsidR="00D91C65" w:rsidRPr="00547A72" w:rsidRDefault="00D91C65">
            <w:pPr>
              <w:rPr>
                <w:rFonts w:ascii="Verdana" w:hAnsi="Verdana"/>
                <w:b/>
                <w:bCs/>
              </w:rPr>
            </w:pPr>
            <w:r w:rsidRPr="00CE7C3F">
              <w:rPr>
                <w:rFonts w:ascii="Verdana" w:hAnsi="Verdana"/>
                <w:b/>
                <w:bCs/>
                <w:sz w:val="20"/>
                <w:szCs w:val="20"/>
              </w:rPr>
              <w:t>1.06</w:t>
            </w:r>
            <w:r w:rsidR="00CE7C3F" w:rsidRPr="00CE7C3F">
              <w:rPr>
                <w:rFonts w:ascii="Verdana" w:hAnsi="Verdana"/>
                <w:b/>
                <w:bCs/>
                <w:sz w:val="20"/>
                <w:szCs w:val="20"/>
              </w:rPr>
              <w:t>08</w:t>
            </w:r>
            <w:r w:rsidRPr="00CE7C3F">
              <w:rPr>
                <w:rFonts w:ascii="Verdana" w:hAnsi="Verdana"/>
                <w:b/>
                <w:bCs/>
                <w:sz w:val="20"/>
                <w:szCs w:val="20"/>
              </w:rPr>
              <w:t>/1.0</w:t>
            </w:r>
            <w:r w:rsidR="00CE7C3F" w:rsidRPr="00CE7C3F">
              <w:rPr>
                <w:rFonts w:ascii="Verdana" w:hAnsi="Verdana"/>
                <w:b/>
                <w:bCs/>
                <w:sz w:val="20"/>
                <w:szCs w:val="20"/>
              </w:rPr>
              <w:t>9</w:t>
            </w:r>
            <w:r w:rsidRPr="00CE7C3F">
              <w:rPr>
                <w:rFonts w:ascii="Verdana" w:hAnsi="Verdana"/>
                <w:b/>
                <w:bCs/>
                <w:sz w:val="20"/>
                <w:szCs w:val="20"/>
              </w:rPr>
              <w:t>/1.1143</w:t>
            </w:r>
          </w:p>
        </w:tc>
        <w:tc>
          <w:tcPr>
            <w:tcW w:w="1526" w:type="dxa"/>
            <w:shd w:val="clear" w:color="auto" w:fill="FFF2CC" w:themeFill="accent4" w:themeFillTint="33"/>
          </w:tcPr>
          <w:p w14:paraId="14E57FF8" w14:textId="62C66BE9" w:rsidR="00D91C65" w:rsidRPr="00547A72" w:rsidRDefault="00D91C65">
            <w:pPr>
              <w:rPr>
                <w:rFonts w:ascii="Verdana" w:hAnsi="Verdana"/>
                <w:b/>
                <w:bCs/>
              </w:rPr>
            </w:pPr>
            <w:r>
              <w:rPr>
                <w:rFonts w:ascii="Verdana" w:hAnsi="Verdana"/>
                <w:b/>
                <w:bCs/>
              </w:rPr>
              <w:t>short</w:t>
            </w:r>
          </w:p>
        </w:tc>
        <w:tc>
          <w:tcPr>
            <w:tcW w:w="1547" w:type="dxa"/>
            <w:shd w:val="clear" w:color="auto" w:fill="C9C9C9" w:themeFill="accent3" w:themeFillTint="99"/>
          </w:tcPr>
          <w:p w14:paraId="502A492A" w14:textId="36F2ED01" w:rsidR="00D91C65" w:rsidRDefault="00CE7C3F">
            <w:pPr>
              <w:rPr>
                <w:rFonts w:ascii="Verdana" w:hAnsi="Verdana"/>
                <w:b/>
                <w:bCs/>
              </w:rPr>
            </w:pPr>
            <w:r>
              <w:rPr>
                <w:rFonts w:ascii="Verdana" w:hAnsi="Verdana"/>
                <w:b/>
                <w:bCs/>
              </w:rPr>
              <w:t>distribuzione</w:t>
            </w:r>
          </w:p>
        </w:tc>
      </w:tr>
      <w:tr w:rsidR="00D91C65" w:rsidRPr="00547A72" w14:paraId="6D79BBD2" w14:textId="0145BBC9" w:rsidTr="00D91C65">
        <w:trPr>
          <w:trHeight w:val="535"/>
        </w:trPr>
        <w:tc>
          <w:tcPr>
            <w:tcW w:w="2358" w:type="dxa"/>
            <w:shd w:val="clear" w:color="auto" w:fill="E2EFD9" w:themeFill="accent6" w:themeFillTint="33"/>
          </w:tcPr>
          <w:p w14:paraId="138E700A" w14:textId="4896553C" w:rsidR="00D91C65" w:rsidRPr="00547A72" w:rsidRDefault="00D91C65">
            <w:pPr>
              <w:rPr>
                <w:rFonts w:ascii="Verdana" w:hAnsi="Verdana"/>
                <w:b/>
                <w:bCs/>
              </w:rPr>
            </w:pPr>
            <w:r w:rsidRPr="00547A72">
              <w:rPr>
                <w:rFonts w:ascii="Verdana" w:hAnsi="Verdana"/>
                <w:b/>
                <w:bCs/>
              </w:rPr>
              <w:t>BTC</w:t>
            </w:r>
          </w:p>
        </w:tc>
        <w:tc>
          <w:tcPr>
            <w:tcW w:w="1710" w:type="dxa"/>
            <w:shd w:val="clear" w:color="auto" w:fill="FFD966" w:themeFill="accent4" w:themeFillTint="99"/>
          </w:tcPr>
          <w:p w14:paraId="5A6CF910" w14:textId="1442D52E" w:rsidR="00D91C65" w:rsidRPr="00547A72" w:rsidRDefault="004754B9">
            <w:pPr>
              <w:rPr>
                <w:rFonts w:ascii="Verdana" w:hAnsi="Verdana"/>
                <w:b/>
                <w:bCs/>
              </w:rPr>
            </w:pPr>
            <w:r>
              <w:rPr>
                <w:rFonts w:ascii="Verdana" w:hAnsi="Verdana"/>
                <w:b/>
                <w:bCs/>
              </w:rPr>
              <w:t>range</w:t>
            </w:r>
          </w:p>
        </w:tc>
        <w:tc>
          <w:tcPr>
            <w:tcW w:w="2635" w:type="dxa"/>
            <w:shd w:val="clear" w:color="auto" w:fill="C9C9C9" w:themeFill="accent3" w:themeFillTint="99"/>
          </w:tcPr>
          <w:p w14:paraId="219BB4F4" w14:textId="2EC0391B" w:rsidR="00D91C65" w:rsidRPr="00547A72" w:rsidRDefault="004754B9">
            <w:pPr>
              <w:rPr>
                <w:rFonts w:ascii="Verdana" w:hAnsi="Verdana"/>
                <w:b/>
                <w:bCs/>
              </w:rPr>
            </w:pPr>
            <w:r>
              <w:rPr>
                <w:rFonts w:ascii="Verdana" w:hAnsi="Verdana"/>
                <w:b/>
                <w:bCs/>
                <w:sz w:val="20"/>
                <w:szCs w:val="20"/>
              </w:rPr>
              <w:t>5</w:t>
            </w:r>
            <w:r w:rsidR="00ED364D">
              <w:rPr>
                <w:rFonts w:ascii="Verdana" w:hAnsi="Verdana"/>
                <w:b/>
                <w:bCs/>
                <w:sz w:val="20"/>
                <w:szCs w:val="20"/>
              </w:rPr>
              <w:t>7</w:t>
            </w:r>
            <w:r w:rsidR="00D91C65" w:rsidRPr="00CE7C3F">
              <w:rPr>
                <w:rFonts w:ascii="Verdana" w:hAnsi="Verdana"/>
                <w:b/>
                <w:bCs/>
                <w:sz w:val="20"/>
                <w:szCs w:val="20"/>
              </w:rPr>
              <w:t>000/7</w:t>
            </w:r>
            <w:r>
              <w:rPr>
                <w:rFonts w:ascii="Verdana" w:hAnsi="Verdana"/>
                <w:b/>
                <w:bCs/>
                <w:sz w:val="20"/>
                <w:szCs w:val="20"/>
              </w:rPr>
              <w:t>2000</w:t>
            </w:r>
          </w:p>
        </w:tc>
        <w:tc>
          <w:tcPr>
            <w:tcW w:w="1526" w:type="dxa"/>
            <w:shd w:val="clear" w:color="auto" w:fill="FFF2CC" w:themeFill="accent4" w:themeFillTint="33"/>
          </w:tcPr>
          <w:p w14:paraId="7AED939D" w14:textId="2CC47D28" w:rsidR="00D91C65" w:rsidRPr="00547A72" w:rsidRDefault="004754B9">
            <w:pPr>
              <w:rPr>
                <w:rFonts w:ascii="Verdana" w:hAnsi="Verdana"/>
                <w:b/>
                <w:bCs/>
              </w:rPr>
            </w:pPr>
            <w:r>
              <w:rPr>
                <w:rFonts w:ascii="Verdana" w:hAnsi="Verdana"/>
                <w:b/>
                <w:bCs/>
              </w:rPr>
              <w:t>long</w:t>
            </w:r>
          </w:p>
        </w:tc>
        <w:tc>
          <w:tcPr>
            <w:tcW w:w="1547" w:type="dxa"/>
            <w:shd w:val="clear" w:color="auto" w:fill="C9C9C9" w:themeFill="accent3" w:themeFillTint="99"/>
          </w:tcPr>
          <w:p w14:paraId="6B41B43B" w14:textId="506268B8" w:rsidR="00D91C65" w:rsidRDefault="00ED364D">
            <w:pPr>
              <w:rPr>
                <w:rFonts w:ascii="Verdana" w:hAnsi="Verdana"/>
                <w:b/>
                <w:bCs/>
              </w:rPr>
            </w:pPr>
            <w:r>
              <w:rPr>
                <w:rFonts w:ascii="Verdana" w:hAnsi="Verdana"/>
                <w:b/>
                <w:bCs/>
              </w:rPr>
              <w:t>distribuzione</w:t>
            </w:r>
          </w:p>
        </w:tc>
      </w:tr>
      <w:tr w:rsidR="00D91C65" w:rsidRPr="00547A72" w14:paraId="3BEBC4F4" w14:textId="52AC2DB3" w:rsidTr="00D91C65">
        <w:trPr>
          <w:trHeight w:val="535"/>
        </w:trPr>
        <w:tc>
          <w:tcPr>
            <w:tcW w:w="2358" w:type="dxa"/>
            <w:shd w:val="clear" w:color="auto" w:fill="E2EFD9" w:themeFill="accent6" w:themeFillTint="33"/>
          </w:tcPr>
          <w:p w14:paraId="1296E513" w14:textId="71080700" w:rsidR="00D91C65" w:rsidRPr="00547A72" w:rsidRDefault="00D91C65">
            <w:pPr>
              <w:rPr>
                <w:rFonts w:ascii="Verdana" w:hAnsi="Verdana"/>
                <w:b/>
                <w:bCs/>
              </w:rPr>
            </w:pPr>
            <w:r w:rsidRPr="00547A72">
              <w:rPr>
                <w:rFonts w:ascii="Verdana" w:hAnsi="Verdana"/>
                <w:b/>
                <w:bCs/>
              </w:rPr>
              <w:t>ETH</w:t>
            </w:r>
          </w:p>
        </w:tc>
        <w:tc>
          <w:tcPr>
            <w:tcW w:w="1710" w:type="dxa"/>
            <w:shd w:val="clear" w:color="auto" w:fill="FFD966" w:themeFill="accent4" w:themeFillTint="99"/>
          </w:tcPr>
          <w:p w14:paraId="41DEB536" w14:textId="1FC7437D" w:rsidR="00D91C65" w:rsidRPr="00547A72" w:rsidRDefault="004754B9">
            <w:pPr>
              <w:rPr>
                <w:rFonts w:ascii="Verdana" w:hAnsi="Verdana"/>
                <w:b/>
                <w:bCs/>
              </w:rPr>
            </w:pPr>
            <w:r>
              <w:rPr>
                <w:rFonts w:ascii="Verdana" w:hAnsi="Verdana"/>
                <w:b/>
                <w:bCs/>
              </w:rPr>
              <w:t>range</w:t>
            </w:r>
          </w:p>
        </w:tc>
        <w:tc>
          <w:tcPr>
            <w:tcW w:w="2635" w:type="dxa"/>
            <w:shd w:val="clear" w:color="auto" w:fill="C9C9C9" w:themeFill="accent3" w:themeFillTint="99"/>
          </w:tcPr>
          <w:p w14:paraId="17DAB202" w14:textId="1115E974" w:rsidR="00D91C65" w:rsidRPr="00547A72" w:rsidRDefault="00D91C65">
            <w:pPr>
              <w:rPr>
                <w:rFonts w:ascii="Verdana" w:hAnsi="Verdana"/>
                <w:b/>
                <w:bCs/>
              </w:rPr>
            </w:pPr>
            <w:r w:rsidRPr="00CE7C3F">
              <w:rPr>
                <w:rFonts w:ascii="Verdana" w:hAnsi="Verdana"/>
                <w:b/>
                <w:bCs/>
                <w:sz w:val="20"/>
                <w:szCs w:val="20"/>
              </w:rPr>
              <w:t>2850/3800</w:t>
            </w:r>
          </w:p>
        </w:tc>
        <w:tc>
          <w:tcPr>
            <w:tcW w:w="1526" w:type="dxa"/>
            <w:shd w:val="clear" w:color="auto" w:fill="FFF2CC" w:themeFill="accent4" w:themeFillTint="33"/>
          </w:tcPr>
          <w:p w14:paraId="78F61D2E" w14:textId="49EB071A" w:rsidR="00D91C65" w:rsidRPr="004754B9" w:rsidRDefault="004754B9">
            <w:pPr>
              <w:rPr>
                <w:rFonts w:ascii="Verdana" w:hAnsi="Verdana"/>
                <w:b/>
                <w:bCs/>
                <w:color w:val="8EAADB" w:themeColor="accent1" w:themeTint="99"/>
              </w:rPr>
            </w:pPr>
            <w:r w:rsidRPr="004754B9">
              <w:rPr>
                <w:rFonts w:ascii="Verdana" w:hAnsi="Verdan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w:t>
            </w:r>
          </w:p>
        </w:tc>
        <w:tc>
          <w:tcPr>
            <w:tcW w:w="1547" w:type="dxa"/>
            <w:shd w:val="clear" w:color="auto" w:fill="BFBFBF" w:themeFill="background1" w:themeFillShade="BF"/>
          </w:tcPr>
          <w:p w14:paraId="3262118E" w14:textId="059C8E9F" w:rsidR="00D91C65" w:rsidRPr="003A127D" w:rsidRDefault="00ED364D">
            <w:pPr>
              <w:rPr>
                <w:rFonts w:ascii="Verdana" w:hAnsi="Verdana"/>
                <w:b/>
              </w:rPr>
            </w:pPr>
            <w:r>
              <w:rPr>
                <w:rFonts w:ascii="Verdana" w:hAnsi="Verdana"/>
                <w:b/>
              </w:rPr>
              <w:t>distribuzione</w:t>
            </w:r>
          </w:p>
        </w:tc>
      </w:tr>
    </w:tbl>
    <w:p w14:paraId="5B7D28BA" w14:textId="77777777" w:rsidR="00547A72" w:rsidRPr="00547A72" w:rsidRDefault="00547A72" w:rsidP="00A26E44">
      <w:pPr>
        <w:rPr>
          <w:rFonts w:ascii="Verdana" w:hAnsi="Verdana"/>
        </w:rPr>
      </w:pPr>
    </w:p>
    <w:sectPr w:rsidR="00547A72" w:rsidRPr="00547A72" w:rsidSect="00D50F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72"/>
    <w:rsid w:val="000347DD"/>
    <w:rsid w:val="00035CDA"/>
    <w:rsid w:val="000454FA"/>
    <w:rsid w:val="00064011"/>
    <w:rsid w:val="00076733"/>
    <w:rsid w:val="00081DC8"/>
    <w:rsid w:val="00093B9F"/>
    <w:rsid w:val="000B1DDF"/>
    <w:rsid w:val="000B46CC"/>
    <w:rsid w:val="000C0DD5"/>
    <w:rsid w:val="000C4A10"/>
    <w:rsid w:val="000C539F"/>
    <w:rsid w:val="000D1442"/>
    <w:rsid w:val="000F1E4B"/>
    <w:rsid w:val="001028E3"/>
    <w:rsid w:val="00103861"/>
    <w:rsid w:val="00106153"/>
    <w:rsid w:val="00107B03"/>
    <w:rsid w:val="0011535C"/>
    <w:rsid w:val="001166BB"/>
    <w:rsid w:val="00120317"/>
    <w:rsid w:val="001420AF"/>
    <w:rsid w:val="00154AB7"/>
    <w:rsid w:val="00163BC4"/>
    <w:rsid w:val="001672DF"/>
    <w:rsid w:val="001766EA"/>
    <w:rsid w:val="00176A44"/>
    <w:rsid w:val="001A2253"/>
    <w:rsid w:val="001D37DC"/>
    <w:rsid w:val="001E5156"/>
    <w:rsid w:val="001F31B0"/>
    <w:rsid w:val="001F5743"/>
    <w:rsid w:val="00204108"/>
    <w:rsid w:val="0021684F"/>
    <w:rsid w:val="00244D97"/>
    <w:rsid w:val="00251DEA"/>
    <w:rsid w:val="002664E7"/>
    <w:rsid w:val="002762D2"/>
    <w:rsid w:val="002C6B92"/>
    <w:rsid w:val="002D3A31"/>
    <w:rsid w:val="002F0324"/>
    <w:rsid w:val="00307A15"/>
    <w:rsid w:val="00307F30"/>
    <w:rsid w:val="00311B5E"/>
    <w:rsid w:val="0032772E"/>
    <w:rsid w:val="00332746"/>
    <w:rsid w:val="00332B93"/>
    <w:rsid w:val="00334F48"/>
    <w:rsid w:val="003368F9"/>
    <w:rsid w:val="0034554C"/>
    <w:rsid w:val="00353F04"/>
    <w:rsid w:val="00365D73"/>
    <w:rsid w:val="0038595D"/>
    <w:rsid w:val="00396D11"/>
    <w:rsid w:val="003A127D"/>
    <w:rsid w:val="003A1DAA"/>
    <w:rsid w:val="003A4E0E"/>
    <w:rsid w:val="003B0B1A"/>
    <w:rsid w:val="003C5F70"/>
    <w:rsid w:val="003D34F1"/>
    <w:rsid w:val="003D511F"/>
    <w:rsid w:val="003E65E5"/>
    <w:rsid w:val="003F2FC0"/>
    <w:rsid w:val="003F367E"/>
    <w:rsid w:val="004007F5"/>
    <w:rsid w:val="004050B5"/>
    <w:rsid w:val="00412E87"/>
    <w:rsid w:val="00420ADF"/>
    <w:rsid w:val="004217DD"/>
    <w:rsid w:val="00425BCB"/>
    <w:rsid w:val="00446EA2"/>
    <w:rsid w:val="00450124"/>
    <w:rsid w:val="004614B6"/>
    <w:rsid w:val="0047360B"/>
    <w:rsid w:val="004754B9"/>
    <w:rsid w:val="004758DF"/>
    <w:rsid w:val="00485233"/>
    <w:rsid w:val="00486711"/>
    <w:rsid w:val="004870F5"/>
    <w:rsid w:val="00495B53"/>
    <w:rsid w:val="004A023C"/>
    <w:rsid w:val="004B5259"/>
    <w:rsid w:val="004C3986"/>
    <w:rsid w:val="004E6CEA"/>
    <w:rsid w:val="004F1422"/>
    <w:rsid w:val="00502111"/>
    <w:rsid w:val="00524014"/>
    <w:rsid w:val="0053143E"/>
    <w:rsid w:val="005373B4"/>
    <w:rsid w:val="00547A72"/>
    <w:rsid w:val="00547EB1"/>
    <w:rsid w:val="005644C5"/>
    <w:rsid w:val="0057543C"/>
    <w:rsid w:val="0058097B"/>
    <w:rsid w:val="00587B61"/>
    <w:rsid w:val="00591E1C"/>
    <w:rsid w:val="005A4682"/>
    <w:rsid w:val="005A6050"/>
    <w:rsid w:val="005A68C7"/>
    <w:rsid w:val="005C5D98"/>
    <w:rsid w:val="005D4E5E"/>
    <w:rsid w:val="005E5718"/>
    <w:rsid w:val="005F77A2"/>
    <w:rsid w:val="00610441"/>
    <w:rsid w:val="00610BA5"/>
    <w:rsid w:val="00614474"/>
    <w:rsid w:val="00627813"/>
    <w:rsid w:val="00631389"/>
    <w:rsid w:val="0063400A"/>
    <w:rsid w:val="00640378"/>
    <w:rsid w:val="00643144"/>
    <w:rsid w:val="00644F5C"/>
    <w:rsid w:val="00646F4A"/>
    <w:rsid w:val="0066509C"/>
    <w:rsid w:val="0067229E"/>
    <w:rsid w:val="00697B25"/>
    <w:rsid w:val="00697BD7"/>
    <w:rsid w:val="006E0F56"/>
    <w:rsid w:val="006E36D1"/>
    <w:rsid w:val="006E7D9F"/>
    <w:rsid w:val="006F4708"/>
    <w:rsid w:val="006F5809"/>
    <w:rsid w:val="00747B5C"/>
    <w:rsid w:val="0075130F"/>
    <w:rsid w:val="007575CF"/>
    <w:rsid w:val="007631E8"/>
    <w:rsid w:val="00770C9B"/>
    <w:rsid w:val="00773AA7"/>
    <w:rsid w:val="0077725E"/>
    <w:rsid w:val="00777CD0"/>
    <w:rsid w:val="00784743"/>
    <w:rsid w:val="00785D9F"/>
    <w:rsid w:val="00785DA5"/>
    <w:rsid w:val="00796142"/>
    <w:rsid w:val="007A5557"/>
    <w:rsid w:val="007B10AE"/>
    <w:rsid w:val="007B79B6"/>
    <w:rsid w:val="007B79FC"/>
    <w:rsid w:val="007D59FC"/>
    <w:rsid w:val="007D763B"/>
    <w:rsid w:val="007F1A92"/>
    <w:rsid w:val="007F68D5"/>
    <w:rsid w:val="0082766B"/>
    <w:rsid w:val="008606C8"/>
    <w:rsid w:val="00876305"/>
    <w:rsid w:val="00877557"/>
    <w:rsid w:val="00883A25"/>
    <w:rsid w:val="008A29C0"/>
    <w:rsid w:val="008A3BDB"/>
    <w:rsid w:val="008B0BB7"/>
    <w:rsid w:val="008C6CE7"/>
    <w:rsid w:val="008D19F2"/>
    <w:rsid w:val="008D5855"/>
    <w:rsid w:val="008D6DC4"/>
    <w:rsid w:val="009168C1"/>
    <w:rsid w:val="00916AB1"/>
    <w:rsid w:val="00931175"/>
    <w:rsid w:val="00932BD1"/>
    <w:rsid w:val="00937222"/>
    <w:rsid w:val="0095686A"/>
    <w:rsid w:val="00973A8F"/>
    <w:rsid w:val="0099763B"/>
    <w:rsid w:val="009A3531"/>
    <w:rsid w:val="009A3793"/>
    <w:rsid w:val="009A457B"/>
    <w:rsid w:val="009D0FB2"/>
    <w:rsid w:val="009D3B24"/>
    <w:rsid w:val="009D7F91"/>
    <w:rsid w:val="009E63B8"/>
    <w:rsid w:val="00A0452E"/>
    <w:rsid w:val="00A23869"/>
    <w:rsid w:val="00A26E44"/>
    <w:rsid w:val="00A3640E"/>
    <w:rsid w:val="00A44C89"/>
    <w:rsid w:val="00A61603"/>
    <w:rsid w:val="00A835FA"/>
    <w:rsid w:val="00A858F8"/>
    <w:rsid w:val="00AA00A3"/>
    <w:rsid w:val="00AB7598"/>
    <w:rsid w:val="00AC4F0E"/>
    <w:rsid w:val="00AD652B"/>
    <w:rsid w:val="00AE6A24"/>
    <w:rsid w:val="00AE704B"/>
    <w:rsid w:val="00AF3C49"/>
    <w:rsid w:val="00B158B3"/>
    <w:rsid w:val="00B15B2B"/>
    <w:rsid w:val="00B171CF"/>
    <w:rsid w:val="00B21579"/>
    <w:rsid w:val="00B21CD2"/>
    <w:rsid w:val="00B43420"/>
    <w:rsid w:val="00B53976"/>
    <w:rsid w:val="00B55CD9"/>
    <w:rsid w:val="00B93336"/>
    <w:rsid w:val="00BA1375"/>
    <w:rsid w:val="00BC27EE"/>
    <w:rsid w:val="00C01BA2"/>
    <w:rsid w:val="00C04B4B"/>
    <w:rsid w:val="00C05858"/>
    <w:rsid w:val="00C12AE3"/>
    <w:rsid w:val="00C60595"/>
    <w:rsid w:val="00C672BC"/>
    <w:rsid w:val="00C7153A"/>
    <w:rsid w:val="00C72243"/>
    <w:rsid w:val="00C76839"/>
    <w:rsid w:val="00C86FD2"/>
    <w:rsid w:val="00C9063C"/>
    <w:rsid w:val="00CA559E"/>
    <w:rsid w:val="00CB127D"/>
    <w:rsid w:val="00CB21C3"/>
    <w:rsid w:val="00CC00C7"/>
    <w:rsid w:val="00CD4C6C"/>
    <w:rsid w:val="00CE08A1"/>
    <w:rsid w:val="00CE1D89"/>
    <w:rsid w:val="00CE3F06"/>
    <w:rsid w:val="00CE7C3F"/>
    <w:rsid w:val="00CF7E4F"/>
    <w:rsid w:val="00D079BB"/>
    <w:rsid w:val="00D15E02"/>
    <w:rsid w:val="00D15EA4"/>
    <w:rsid w:val="00D30BE5"/>
    <w:rsid w:val="00D47557"/>
    <w:rsid w:val="00D50BDC"/>
    <w:rsid w:val="00D50F8F"/>
    <w:rsid w:val="00D52723"/>
    <w:rsid w:val="00D60BE3"/>
    <w:rsid w:val="00D62488"/>
    <w:rsid w:val="00D70555"/>
    <w:rsid w:val="00D71350"/>
    <w:rsid w:val="00D72555"/>
    <w:rsid w:val="00D7457E"/>
    <w:rsid w:val="00D74C82"/>
    <w:rsid w:val="00D91C65"/>
    <w:rsid w:val="00DA2909"/>
    <w:rsid w:val="00DA2961"/>
    <w:rsid w:val="00DA75EE"/>
    <w:rsid w:val="00DB320B"/>
    <w:rsid w:val="00DC2D28"/>
    <w:rsid w:val="00DD2925"/>
    <w:rsid w:val="00DE323E"/>
    <w:rsid w:val="00DF742E"/>
    <w:rsid w:val="00E03F96"/>
    <w:rsid w:val="00E10645"/>
    <w:rsid w:val="00E236D1"/>
    <w:rsid w:val="00E431A1"/>
    <w:rsid w:val="00E432DC"/>
    <w:rsid w:val="00E53A90"/>
    <w:rsid w:val="00E643D0"/>
    <w:rsid w:val="00E76C02"/>
    <w:rsid w:val="00E80CB0"/>
    <w:rsid w:val="00E90095"/>
    <w:rsid w:val="00E9089B"/>
    <w:rsid w:val="00E90A69"/>
    <w:rsid w:val="00E91A0F"/>
    <w:rsid w:val="00E923A8"/>
    <w:rsid w:val="00EB3E27"/>
    <w:rsid w:val="00EC52AA"/>
    <w:rsid w:val="00ED364D"/>
    <w:rsid w:val="00EF32C3"/>
    <w:rsid w:val="00EF3436"/>
    <w:rsid w:val="00EF4C47"/>
    <w:rsid w:val="00F030BC"/>
    <w:rsid w:val="00F06E5F"/>
    <w:rsid w:val="00F11FDC"/>
    <w:rsid w:val="00F2301C"/>
    <w:rsid w:val="00F27D9D"/>
    <w:rsid w:val="00F3729B"/>
    <w:rsid w:val="00F446D4"/>
    <w:rsid w:val="00F7289B"/>
    <w:rsid w:val="00F73008"/>
    <w:rsid w:val="00F809C1"/>
    <w:rsid w:val="00F83329"/>
    <w:rsid w:val="00F85A92"/>
    <w:rsid w:val="00FA69A2"/>
    <w:rsid w:val="00FB019C"/>
    <w:rsid w:val="00FB4437"/>
    <w:rsid w:val="00FB6916"/>
    <w:rsid w:val="00FC0E97"/>
    <w:rsid w:val="00FF7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8D3"/>
  <w15:chartTrackingRefBased/>
  <w15:docId w15:val="{6092645A-0236-46E2-8898-301147F5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4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05848">
      <w:bodyDiv w:val="1"/>
      <w:marLeft w:val="0"/>
      <w:marRight w:val="0"/>
      <w:marTop w:val="0"/>
      <w:marBottom w:val="0"/>
      <w:divBdr>
        <w:top w:val="none" w:sz="0" w:space="0" w:color="auto"/>
        <w:left w:val="none" w:sz="0" w:space="0" w:color="auto"/>
        <w:bottom w:val="none" w:sz="0" w:space="0" w:color="auto"/>
        <w:right w:val="none" w:sz="0" w:space="0" w:color="auto"/>
      </w:divBdr>
      <w:divsChild>
        <w:div w:id="1565411007">
          <w:marLeft w:val="0"/>
          <w:marRight w:val="0"/>
          <w:marTop w:val="0"/>
          <w:marBottom w:val="0"/>
          <w:divBdr>
            <w:top w:val="none" w:sz="0" w:space="0" w:color="auto"/>
            <w:left w:val="none" w:sz="0" w:space="0" w:color="auto"/>
            <w:bottom w:val="none" w:sz="0" w:space="0" w:color="auto"/>
            <w:right w:val="none" w:sz="0" w:space="0" w:color="auto"/>
          </w:divBdr>
        </w:div>
        <w:div w:id="951134295">
          <w:marLeft w:val="0"/>
          <w:marRight w:val="0"/>
          <w:marTop w:val="0"/>
          <w:marBottom w:val="0"/>
          <w:divBdr>
            <w:top w:val="none" w:sz="0" w:space="0" w:color="auto"/>
            <w:left w:val="none" w:sz="0" w:space="0" w:color="auto"/>
            <w:bottom w:val="none" w:sz="0" w:space="0" w:color="auto"/>
            <w:right w:val="none" w:sz="0" w:space="0" w:color="auto"/>
          </w:divBdr>
        </w:div>
        <w:div w:id="512574420">
          <w:marLeft w:val="0"/>
          <w:marRight w:val="0"/>
          <w:marTop w:val="0"/>
          <w:marBottom w:val="0"/>
          <w:divBdr>
            <w:top w:val="none" w:sz="0" w:space="0" w:color="auto"/>
            <w:left w:val="none" w:sz="0" w:space="0" w:color="auto"/>
            <w:bottom w:val="none" w:sz="0" w:space="0" w:color="auto"/>
            <w:right w:val="none" w:sz="0" w:space="0" w:color="auto"/>
          </w:divBdr>
        </w:div>
        <w:div w:id="1195578674">
          <w:marLeft w:val="0"/>
          <w:marRight w:val="0"/>
          <w:marTop w:val="0"/>
          <w:marBottom w:val="0"/>
          <w:divBdr>
            <w:top w:val="none" w:sz="0" w:space="0" w:color="auto"/>
            <w:left w:val="none" w:sz="0" w:space="0" w:color="auto"/>
            <w:bottom w:val="none" w:sz="0" w:space="0" w:color="auto"/>
            <w:right w:val="none" w:sz="0" w:space="0" w:color="auto"/>
          </w:divBdr>
        </w:div>
        <w:div w:id="642344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268</Words>
  <Characters>1530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Maria Bianzino</dc:creator>
  <cp:keywords/>
  <dc:description/>
  <cp:lastModifiedBy>Alessio Maria Bianzino</cp:lastModifiedBy>
  <cp:revision>18</cp:revision>
  <dcterms:created xsi:type="dcterms:W3CDTF">2024-06-11T08:12:00Z</dcterms:created>
  <dcterms:modified xsi:type="dcterms:W3CDTF">2024-06-17T08:32:00Z</dcterms:modified>
</cp:coreProperties>
</file>