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EBFBC" w14:textId="7BFF5CEB" w:rsidR="00931175" w:rsidRPr="00547A72" w:rsidRDefault="00547A72">
      <w:pPr>
        <w:rPr>
          <w:rFonts w:ascii="Verdana" w:hAnsi="Verdana"/>
          <w:b/>
          <w:bCs/>
        </w:rPr>
      </w:pPr>
      <w:r w:rsidRPr="00547A72">
        <w:rPr>
          <w:rFonts w:ascii="Verdana" w:hAnsi="Verdana"/>
          <w:b/>
          <w:bCs/>
        </w:rPr>
        <w:t xml:space="preserve">REPORT TATTICO DEL </w:t>
      </w:r>
      <w:r w:rsidR="009D3B24">
        <w:rPr>
          <w:rFonts w:ascii="Verdana" w:hAnsi="Verdana"/>
          <w:b/>
          <w:bCs/>
        </w:rPr>
        <w:t>27</w:t>
      </w:r>
      <w:r w:rsidR="00163BC4">
        <w:rPr>
          <w:rFonts w:ascii="Verdana" w:hAnsi="Verdana"/>
          <w:b/>
          <w:bCs/>
        </w:rPr>
        <w:t>/</w:t>
      </w:r>
      <w:r w:rsidR="0021684F">
        <w:rPr>
          <w:rFonts w:ascii="Verdana" w:hAnsi="Verdana"/>
          <w:b/>
          <w:bCs/>
        </w:rPr>
        <w:t>0</w:t>
      </w:r>
      <w:r w:rsidR="00396D11">
        <w:rPr>
          <w:rFonts w:ascii="Verdana" w:hAnsi="Verdana"/>
          <w:b/>
          <w:bCs/>
        </w:rPr>
        <w:t>5</w:t>
      </w:r>
      <w:r w:rsidR="00163BC4">
        <w:rPr>
          <w:rFonts w:ascii="Verdana" w:hAnsi="Verdana"/>
          <w:b/>
          <w:bCs/>
        </w:rPr>
        <w:t>/</w:t>
      </w:r>
      <w:r w:rsidRPr="00547A72">
        <w:rPr>
          <w:rFonts w:ascii="Verdana" w:hAnsi="Verdana"/>
          <w:b/>
          <w:bCs/>
        </w:rPr>
        <w:t>202</w:t>
      </w:r>
      <w:r w:rsidR="00697BD7">
        <w:rPr>
          <w:rFonts w:ascii="Verdana" w:hAnsi="Verdana"/>
          <w:b/>
          <w:bCs/>
        </w:rPr>
        <w:t>4</w:t>
      </w:r>
    </w:p>
    <w:tbl>
      <w:tblPr>
        <w:tblStyle w:val="Grigliatabella"/>
        <w:tblW w:w="9837" w:type="dxa"/>
        <w:shd w:val="clear" w:color="auto" w:fill="FFF2CC" w:themeFill="accent4" w:themeFillTint="33"/>
        <w:tblLook w:val="04A0" w:firstRow="1" w:lastRow="0" w:firstColumn="1" w:lastColumn="0" w:noHBand="0" w:noVBand="1"/>
      </w:tblPr>
      <w:tblGrid>
        <w:gridCol w:w="9837"/>
      </w:tblGrid>
      <w:tr w:rsidR="00547A72" w14:paraId="45D75F03" w14:textId="77777777" w:rsidTr="005C5D98">
        <w:trPr>
          <w:trHeight w:val="4037"/>
        </w:trPr>
        <w:tc>
          <w:tcPr>
            <w:tcW w:w="9837" w:type="dxa"/>
            <w:shd w:val="clear" w:color="auto" w:fill="FFF2CC" w:themeFill="accent4" w:themeFillTint="33"/>
          </w:tcPr>
          <w:p w14:paraId="5D9E682B" w14:textId="77777777" w:rsidR="003A1DAA" w:rsidRDefault="003A1DAA" w:rsidP="004870F5">
            <w:pPr>
              <w:rPr>
                <w:rFonts w:ascii="Verdana" w:hAnsi="Verdana"/>
              </w:rPr>
            </w:pPr>
          </w:p>
          <w:p w14:paraId="5AB8040C" w14:textId="07A2D220" w:rsidR="003A1DAA" w:rsidRDefault="00D47557" w:rsidP="004870F5">
            <w:pPr>
              <w:rPr>
                <w:rFonts w:ascii="Verdana" w:hAnsi="Verdana"/>
              </w:rPr>
            </w:pPr>
            <w:r>
              <w:rPr>
                <w:rFonts w:ascii="Verdana" w:hAnsi="Verdana"/>
              </w:rPr>
              <w:t>Oggi memorial day molti mercati staranno in stand by. Gli indicatori di breve</w:t>
            </w:r>
            <w:r w:rsidR="00932BD1">
              <w:rPr>
                <w:rFonts w:ascii="Verdana" w:hAnsi="Verdana"/>
              </w:rPr>
              <w:t>,</w:t>
            </w:r>
            <w:r>
              <w:rPr>
                <w:rFonts w:ascii="Verdana" w:hAnsi="Verdana"/>
              </w:rPr>
              <w:t xml:space="preserve"> anche se c’è stata una ripresa nel finale di venerdì</w:t>
            </w:r>
            <w:r w:rsidR="00932BD1">
              <w:rPr>
                <w:rFonts w:ascii="Verdana" w:hAnsi="Verdana"/>
              </w:rPr>
              <w:t>,</w:t>
            </w:r>
            <w:r>
              <w:rPr>
                <w:rFonts w:ascii="Verdana" w:hAnsi="Verdana"/>
              </w:rPr>
              <w:t xml:space="preserve"> indicano di aspettare</w:t>
            </w:r>
            <w:r w:rsidR="00932BD1">
              <w:rPr>
                <w:rFonts w:ascii="Verdana" w:hAnsi="Verdana"/>
              </w:rPr>
              <w:t>, perché</w:t>
            </w:r>
            <w:r>
              <w:rPr>
                <w:rFonts w:ascii="Verdana" w:hAnsi="Verdana"/>
              </w:rPr>
              <w:t xml:space="preserve"> potrebbe ricominciare la fase correttiva e sono passati in “wait” per prudenza. La visione di lungo resta intatta e rivolta verso l’alto, fin quando interverrà qualcosa che farà ritornare a valutazioni più attraenti il mercato azionario. Si regista una concentrazione su 1 solo titolo, Nvidia, di capitalizzazione mia vista</w:t>
            </w:r>
            <w:r w:rsidR="00932BD1">
              <w:rPr>
                <w:rFonts w:ascii="Verdana" w:hAnsi="Verdana"/>
              </w:rPr>
              <w:t>,</w:t>
            </w:r>
            <w:r>
              <w:rPr>
                <w:rFonts w:ascii="Verdana" w:hAnsi="Verdana"/>
              </w:rPr>
              <w:t xml:space="preserve"> e in grado di influenzare almeno 2 indici come S&amp;P500 e Nasdaq</w:t>
            </w:r>
            <w:r w:rsidR="00932BD1">
              <w:rPr>
                <w:rFonts w:ascii="Verdana" w:hAnsi="Verdana"/>
              </w:rPr>
              <w:t>,</w:t>
            </w:r>
            <w:r w:rsidR="00D079BB">
              <w:rPr>
                <w:rFonts w:ascii="Verdana" w:hAnsi="Verdana"/>
              </w:rPr>
              <w:t xml:space="preserve"> oltre a tutti i comparti adiacenti. Ritengo che comunque un operatore deve distinguere fra una bolla finanziaria, che si può o si deve cavalcare più o meno, e gli effetti reali dell’innovazione tecnologica che in questo periodo si chiama AI e che sicuramente si dispiegheranno in tutti settori nei prossimi anni. </w:t>
            </w:r>
          </w:p>
          <w:p w14:paraId="40C254E8" w14:textId="75227CAF" w:rsidR="00D079BB" w:rsidRDefault="00D079BB" w:rsidP="004870F5">
            <w:pPr>
              <w:rPr>
                <w:rFonts w:ascii="Verdana" w:hAnsi="Verdana"/>
              </w:rPr>
            </w:pPr>
            <w:r>
              <w:rPr>
                <w:rFonts w:ascii="Verdana" w:hAnsi="Verdana"/>
              </w:rPr>
              <w:t>Quando esplose internet molte società raggiunsero livelli altissimi con aspettative altissime, adesso valgono “</w:t>
            </w:r>
            <w:proofErr w:type="gramStart"/>
            <w:r>
              <w:rPr>
                <w:rFonts w:ascii="Verdana" w:hAnsi="Verdana"/>
              </w:rPr>
              <w:t>0,000….</w:t>
            </w:r>
            <w:proofErr w:type="gramEnd"/>
            <w:r>
              <w:rPr>
                <w:rFonts w:ascii="Verdana" w:hAnsi="Verdana"/>
              </w:rPr>
              <w:t xml:space="preserve">.” però tutti usiamo internet. </w:t>
            </w:r>
          </w:p>
          <w:p w14:paraId="07437E0F" w14:textId="77777777" w:rsidR="00D079BB" w:rsidRDefault="00D079BB" w:rsidP="004870F5">
            <w:pPr>
              <w:rPr>
                <w:rFonts w:ascii="Verdana" w:hAnsi="Verdana"/>
              </w:rPr>
            </w:pPr>
          </w:p>
          <w:p w14:paraId="2FE1E10A" w14:textId="07C43568" w:rsidR="00D079BB" w:rsidRDefault="00D079BB" w:rsidP="004870F5">
            <w:pPr>
              <w:rPr>
                <w:rFonts w:ascii="Verdana" w:hAnsi="Verdana"/>
              </w:rPr>
            </w:pPr>
            <w:r>
              <w:rPr>
                <w:rFonts w:ascii="Verdana" w:hAnsi="Verdana"/>
              </w:rPr>
              <w:t>La scorsa settimana ho analizzato il ciclo dell’economia cinese che è in ripresa e penso p</w:t>
            </w:r>
            <w:r w:rsidR="00932BD1">
              <w:rPr>
                <w:rFonts w:ascii="Verdana" w:hAnsi="Verdana"/>
              </w:rPr>
              <w:t>ossa</w:t>
            </w:r>
            <w:r>
              <w:rPr>
                <w:rFonts w:ascii="Verdana" w:hAnsi="Verdana"/>
              </w:rPr>
              <w:t xml:space="preserve"> contagiare tutta la parte asiatica. Ecco che ho individuato dei titoli per intercettare questa ripresa in diversi settori puntando su alcune società che ho inserito nel portafoglio azionario globale in una ottica di lungo termine. </w:t>
            </w:r>
          </w:p>
          <w:p w14:paraId="69EC0DA5" w14:textId="09732AE1" w:rsidR="00D079BB" w:rsidRDefault="00D079BB" w:rsidP="004870F5">
            <w:pPr>
              <w:rPr>
                <w:rFonts w:ascii="Verdana" w:hAnsi="Verdana"/>
              </w:rPr>
            </w:pPr>
            <w:r>
              <w:rPr>
                <w:rFonts w:ascii="Verdana" w:hAnsi="Verdana"/>
              </w:rPr>
              <w:t xml:space="preserve">(premetto non tutte queste azioni hanno il loro corrispettivo ADR per comprarle a NY o in </w:t>
            </w:r>
            <w:r w:rsidR="00A0452E">
              <w:rPr>
                <w:rFonts w:ascii="Verdana" w:hAnsi="Verdana"/>
              </w:rPr>
              <w:t>Europa</w:t>
            </w:r>
            <w:r>
              <w:rPr>
                <w:rFonts w:ascii="Verdana" w:hAnsi="Verdana"/>
              </w:rPr>
              <w:t xml:space="preserve"> ma sono quotate su altre piattaforme estere)</w:t>
            </w:r>
            <w:r w:rsidR="00614474">
              <w:rPr>
                <w:rFonts w:ascii="Verdana" w:hAnsi="Verdana"/>
              </w:rPr>
              <w:t>.</w:t>
            </w:r>
          </w:p>
          <w:p w14:paraId="5E4751DB" w14:textId="6399754E" w:rsidR="00614474" w:rsidRDefault="00614474" w:rsidP="004870F5">
            <w:pPr>
              <w:rPr>
                <w:rFonts w:ascii="Verdana" w:hAnsi="Verdana"/>
              </w:rPr>
            </w:pPr>
            <w:r>
              <w:rPr>
                <w:rFonts w:ascii="Verdana" w:hAnsi="Verdana"/>
              </w:rPr>
              <w:t xml:space="preserve">Ho scelto titoli </w:t>
            </w:r>
            <w:r w:rsidR="00A0452E">
              <w:rPr>
                <w:rFonts w:ascii="Verdana" w:hAnsi="Verdana"/>
              </w:rPr>
              <w:t>ciclici quotati ad HK per sfruttare il rimbalzo dell’economia cinese.</w:t>
            </w:r>
          </w:p>
          <w:p w14:paraId="63237A53" w14:textId="62A3AC8B" w:rsidR="00A0452E" w:rsidRDefault="00A0452E" w:rsidP="004870F5">
            <w:pPr>
              <w:rPr>
                <w:rFonts w:ascii="Verdana" w:hAnsi="Verdana"/>
              </w:rPr>
            </w:pPr>
            <w:r w:rsidRPr="00DC2D28">
              <w:rPr>
                <w:rFonts w:ascii="Verdana" w:hAnsi="Verdana"/>
                <w:b/>
                <w:bCs/>
              </w:rPr>
              <w:t>TENCENT</w:t>
            </w:r>
            <w:r>
              <w:rPr>
                <w:rFonts w:ascii="Verdana" w:hAnsi="Verdana"/>
              </w:rPr>
              <w:t xml:space="preserve"> azienda cinese specializzata in internet e app mobili oltre a giochi e pagamenti. È la Whatsapp cinese.</w:t>
            </w:r>
          </w:p>
          <w:p w14:paraId="3A6BBD26" w14:textId="12F97402" w:rsidR="00A0452E" w:rsidRDefault="00A0452E" w:rsidP="004870F5">
            <w:pPr>
              <w:rPr>
                <w:rFonts w:ascii="Verdana" w:hAnsi="Verdana"/>
              </w:rPr>
            </w:pPr>
            <w:r w:rsidRPr="00DC2D28">
              <w:rPr>
                <w:rFonts w:ascii="Verdana" w:hAnsi="Verdana"/>
                <w:b/>
                <w:bCs/>
              </w:rPr>
              <w:t>JD LOGISTICS</w:t>
            </w:r>
            <w:r>
              <w:rPr>
                <w:rFonts w:ascii="Verdana" w:hAnsi="Verdana"/>
              </w:rPr>
              <w:t xml:space="preserve"> cinese del settore della logistica: stoccaggio distribuzione e trasporto merci aziende e privati. Forti nella catena del freddo e per approvvigionamento per aziende internazionali.</w:t>
            </w:r>
          </w:p>
          <w:p w14:paraId="7C58AD83" w14:textId="3940E9F6" w:rsidR="00A0452E" w:rsidRDefault="00A0452E" w:rsidP="004870F5">
            <w:pPr>
              <w:rPr>
                <w:rFonts w:ascii="Verdana" w:hAnsi="Verdana"/>
              </w:rPr>
            </w:pPr>
            <w:r w:rsidRPr="00932BD1">
              <w:rPr>
                <w:rFonts w:ascii="Verdana" w:hAnsi="Verdana"/>
                <w:b/>
                <w:bCs/>
              </w:rPr>
              <w:t>CMOC Group</w:t>
            </w:r>
            <w:r>
              <w:rPr>
                <w:rFonts w:ascii="Verdana" w:hAnsi="Verdana"/>
              </w:rPr>
              <w:t xml:space="preserve"> nota in passato come </w:t>
            </w:r>
            <w:proofErr w:type="spellStart"/>
            <w:r>
              <w:rPr>
                <w:rFonts w:ascii="Verdana" w:hAnsi="Verdana"/>
              </w:rPr>
              <w:t>Molybdenum</w:t>
            </w:r>
            <w:proofErr w:type="spellEnd"/>
            <w:r>
              <w:rPr>
                <w:rFonts w:ascii="Verdana" w:hAnsi="Verdana"/>
              </w:rPr>
              <w:t xml:space="preserve"> co ltd settore estrazione e lavorazione metalli come molibdeno tungsteno rame, oro e cobalto.</w:t>
            </w:r>
          </w:p>
          <w:p w14:paraId="28CF887C" w14:textId="57B04C21" w:rsidR="009168C1" w:rsidRDefault="00DC2D28" w:rsidP="004870F5">
            <w:pPr>
              <w:rPr>
                <w:rFonts w:ascii="Verdana" w:hAnsi="Verdana"/>
              </w:rPr>
            </w:pPr>
            <w:r w:rsidRPr="00DC2D28">
              <w:rPr>
                <w:rFonts w:ascii="Verdana" w:hAnsi="Verdana"/>
                <w:b/>
                <w:bCs/>
              </w:rPr>
              <w:t>BYD Electronic</w:t>
            </w:r>
            <w:r>
              <w:rPr>
                <w:rFonts w:ascii="Verdana" w:hAnsi="Verdana"/>
              </w:rPr>
              <w:t xml:space="preserve"> società che fornisce con AI prodotti per pc tutto a supporto della logistica e soprattutto del settore automobilistico</w:t>
            </w:r>
          </w:p>
          <w:p w14:paraId="493ECDD8" w14:textId="15947837" w:rsidR="00DC2D28" w:rsidRDefault="00DC2D28" w:rsidP="004870F5">
            <w:pPr>
              <w:rPr>
                <w:rFonts w:ascii="Verdana" w:hAnsi="Verdana"/>
              </w:rPr>
            </w:pPr>
            <w:r w:rsidRPr="00DC2D28">
              <w:rPr>
                <w:rFonts w:ascii="Verdana" w:hAnsi="Verdana"/>
                <w:b/>
                <w:bCs/>
              </w:rPr>
              <w:t>BDS</w:t>
            </w:r>
            <w:r>
              <w:rPr>
                <w:rFonts w:ascii="Verdana" w:hAnsi="Verdana"/>
              </w:rPr>
              <w:t xml:space="preserve"> la più grossa banca di Singapore solida che aiuta appunto lo sviluppo dell’area asiatica.</w:t>
            </w:r>
          </w:p>
          <w:p w14:paraId="124A85F3" w14:textId="2C125EB4" w:rsidR="00A0452E" w:rsidRDefault="00DC2D28" w:rsidP="004870F5">
            <w:pPr>
              <w:rPr>
                <w:rFonts w:ascii="Verdana" w:hAnsi="Verdana"/>
              </w:rPr>
            </w:pPr>
            <w:r>
              <w:rPr>
                <w:rFonts w:ascii="Verdana" w:hAnsi="Verdana"/>
              </w:rPr>
              <w:t>Per i livelli e quantità consultare il portafoglio azionario globale</w:t>
            </w:r>
          </w:p>
          <w:p w14:paraId="5E8E240E" w14:textId="77777777" w:rsidR="00D079BB" w:rsidRDefault="00D079BB" w:rsidP="004870F5">
            <w:pPr>
              <w:rPr>
                <w:rFonts w:ascii="Verdana" w:hAnsi="Verdana"/>
              </w:rPr>
            </w:pPr>
          </w:p>
          <w:p w14:paraId="3F80A8C5" w14:textId="41DAA631" w:rsidR="003A1DAA" w:rsidRPr="005C5D98" w:rsidRDefault="003A1DAA" w:rsidP="004870F5">
            <w:pPr>
              <w:rPr>
                <w:rFonts w:ascii="Verdana" w:hAnsi="Verdana"/>
              </w:rPr>
            </w:pPr>
          </w:p>
        </w:tc>
      </w:tr>
    </w:tbl>
    <w:p w14:paraId="298C703D" w14:textId="77777777" w:rsidR="00547A72" w:rsidRDefault="00547A72">
      <w:pPr>
        <w:rPr>
          <w:rFonts w:ascii="Verdana" w:hAnsi="Verdana"/>
        </w:rPr>
      </w:pPr>
    </w:p>
    <w:p w14:paraId="44AC4661" w14:textId="77777777" w:rsidR="00547A72" w:rsidRDefault="00547A72">
      <w:pPr>
        <w:rPr>
          <w:rFonts w:ascii="Verdana" w:hAnsi="Verdana"/>
        </w:rPr>
      </w:pPr>
    </w:p>
    <w:tbl>
      <w:tblPr>
        <w:tblStyle w:val="Grigliatabella"/>
        <w:tblW w:w="0" w:type="auto"/>
        <w:shd w:val="clear" w:color="auto" w:fill="C9C9C9" w:themeFill="accent3" w:themeFillTint="99"/>
        <w:tblLook w:val="04A0" w:firstRow="1" w:lastRow="0" w:firstColumn="1" w:lastColumn="0" w:noHBand="0" w:noVBand="1"/>
      </w:tblPr>
      <w:tblGrid>
        <w:gridCol w:w="2760"/>
        <w:gridCol w:w="2416"/>
        <w:gridCol w:w="2635"/>
        <w:gridCol w:w="2056"/>
      </w:tblGrid>
      <w:tr w:rsidR="00547A72" w:rsidRPr="00547A72" w14:paraId="36657306" w14:textId="43E9B7DD" w:rsidTr="00A26E44">
        <w:trPr>
          <w:trHeight w:val="535"/>
        </w:trPr>
        <w:tc>
          <w:tcPr>
            <w:tcW w:w="2760" w:type="dxa"/>
            <w:shd w:val="clear" w:color="auto" w:fill="C9C9C9" w:themeFill="accent3" w:themeFillTint="99"/>
          </w:tcPr>
          <w:p w14:paraId="2963D17D" w14:textId="77777777" w:rsidR="00547A72" w:rsidRPr="00547A72" w:rsidRDefault="00547A72">
            <w:pPr>
              <w:rPr>
                <w:rFonts w:ascii="Verdana" w:hAnsi="Verdana"/>
                <w:b/>
                <w:bCs/>
              </w:rPr>
            </w:pPr>
          </w:p>
        </w:tc>
        <w:tc>
          <w:tcPr>
            <w:tcW w:w="2416" w:type="dxa"/>
            <w:shd w:val="clear" w:color="auto" w:fill="C9C9C9" w:themeFill="accent3" w:themeFillTint="99"/>
          </w:tcPr>
          <w:p w14:paraId="7568810C" w14:textId="02C6F438" w:rsidR="00547A72" w:rsidRPr="00547A72" w:rsidRDefault="00547A72">
            <w:pPr>
              <w:rPr>
                <w:rFonts w:ascii="Verdana" w:hAnsi="Verdana"/>
                <w:b/>
                <w:bCs/>
              </w:rPr>
            </w:pPr>
            <w:proofErr w:type="gramStart"/>
            <w:r w:rsidRPr="00547A72">
              <w:rPr>
                <w:rFonts w:ascii="Verdana" w:hAnsi="Verdana"/>
                <w:b/>
                <w:bCs/>
              </w:rPr>
              <w:t>Trend</w:t>
            </w:r>
            <w:proofErr w:type="gramEnd"/>
            <w:r w:rsidRPr="00547A72">
              <w:rPr>
                <w:rFonts w:ascii="Verdana" w:hAnsi="Verdana"/>
                <w:b/>
                <w:bCs/>
              </w:rPr>
              <w:t xml:space="preserve"> di lungo periodo</w:t>
            </w:r>
          </w:p>
        </w:tc>
        <w:tc>
          <w:tcPr>
            <w:tcW w:w="2396" w:type="dxa"/>
            <w:shd w:val="clear" w:color="auto" w:fill="C9C9C9" w:themeFill="accent3" w:themeFillTint="99"/>
          </w:tcPr>
          <w:p w14:paraId="44E3C28E" w14:textId="77777777" w:rsidR="00547A72" w:rsidRDefault="00547A72">
            <w:pPr>
              <w:rPr>
                <w:rFonts w:ascii="Verdana" w:hAnsi="Verdana"/>
                <w:b/>
                <w:bCs/>
              </w:rPr>
            </w:pPr>
            <w:r w:rsidRPr="00547A72">
              <w:rPr>
                <w:rFonts w:ascii="Verdana" w:hAnsi="Verdana"/>
                <w:b/>
                <w:bCs/>
              </w:rPr>
              <w:t>Livelli in/out</w:t>
            </w:r>
          </w:p>
          <w:p w14:paraId="452BA4FE" w14:textId="7AB187C7" w:rsidR="00547A72" w:rsidRPr="00547A72" w:rsidRDefault="00547A72">
            <w:pPr>
              <w:rPr>
                <w:rFonts w:ascii="Verdana" w:hAnsi="Verdana"/>
                <w:b/>
                <w:bCs/>
              </w:rPr>
            </w:pPr>
            <w:r w:rsidRPr="00547A72">
              <w:rPr>
                <w:rFonts w:ascii="Verdana" w:hAnsi="Verdana"/>
                <w:b/>
                <w:bCs/>
              </w:rPr>
              <w:t>dove cambia</w:t>
            </w:r>
            <w:r w:rsidR="00A3640E">
              <w:rPr>
                <w:rFonts w:ascii="Verdana" w:hAnsi="Verdana"/>
                <w:b/>
                <w:bCs/>
              </w:rPr>
              <w:t xml:space="preserve"> e accelera </w:t>
            </w:r>
            <w:proofErr w:type="gramStart"/>
            <w:r w:rsidR="00A3640E">
              <w:rPr>
                <w:rFonts w:ascii="Verdana" w:hAnsi="Verdana"/>
                <w:b/>
                <w:bCs/>
              </w:rPr>
              <w:t>il trend</w:t>
            </w:r>
            <w:proofErr w:type="gramEnd"/>
          </w:p>
        </w:tc>
        <w:tc>
          <w:tcPr>
            <w:tcW w:w="2056" w:type="dxa"/>
            <w:shd w:val="clear" w:color="auto" w:fill="C9C9C9" w:themeFill="accent3" w:themeFillTint="99"/>
          </w:tcPr>
          <w:p w14:paraId="783F845B" w14:textId="4FA4CFCF" w:rsidR="00547A72" w:rsidRPr="00547A72" w:rsidRDefault="00A26E44">
            <w:pPr>
              <w:rPr>
                <w:rFonts w:ascii="Verdana" w:hAnsi="Verdana"/>
                <w:b/>
                <w:bCs/>
              </w:rPr>
            </w:pPr>
            <w:r>
              <w:rPr>
                <w:rFonts w:ascii="Verdana" w:hAnsi="Verdana"/>
                <w:b/>
                <w:bCs/>
              </w:rPr>
              <w:t xml:space="preserve">COSA FARE </w:t>
            </w:r>
            <w:r w:rsidR="00D15E02">
              <w:rPr>
                <w:rFonts w:ascii="Verdana" w:hAnsi="Verdana"/>
                <w:b/>
                <w:bCs/>
              </w:rPr>
              <w:t>A BREVE</w:t>
            </w:r>
          </w:p>
        </w:tc>
      </w:tr>
      <w:tr w:rsidR="00547A72" w:rsidRPr="00547A72" w14:paraId="14144CA3" w14:textId="37C5868D" w:rsidTr="00A26E44">
        <w:trPr>
          <w:trHeight w:val="535"/>
        </w:trPr>
        <w:tc>
          <w:tcPr>
            <w:tcW w:w="2760" w:type="dxa"/>
            <w:shd w:val="clear" w:color="auto" w:fill="C9C9C9" w:themeFill="accent3" w:themeFillTint="99"/>
          </w:tcPr>
          <w:p w14:paraId="6CFA8358" w14:textId="09C4DC6B" w:rsidR="00547A72" w:rsidRPr="00547A72" w:rsidRDefault="00547A72">
            <w:pPr>
              <w:rPr>
                <w:rFonts w:ascii="Verdana" w:hAnsi="Verdana"/>
                <w:b/>
                <w:bCs/>
              </w:rPr>
            </w:pPr>
            <w:r w:rsidRPr="00547A72">
              <w:rPr>
                <w:rFonts w:ascii="Verdana" w:hAnsi="Verdana"/>
                <w:b/>
                <w:bCs/>
              </w:rPr>
              <w:t>BUND</w:t>
            </w:r>
          </w:p>
        </w:tc>
        <w:tc>
          <w:tcPr>
            <w:tcW w:w="2416" w:type="dxa"/>
            <w:shd w:val="clear" w:color="auto" w:fill="C9C9C9" w:themeFill="accent3" w:themeFillTint="99"/>
          </w:tcPr>
          <w:p w14:paraId="618DC2D3" w14:textId="15E7930E" w:rsidR="00B21CD2" w:rsidRPr="00547A72" w:rsidRDefault="002D3A31">
            <w:pPr>
              <w:rPr>
                <w:rFonts w:ascii="Verdana" w:hAnsi="Verdana"/>
                <w:b/>
                <w:bCs/>
              </w:rPr>
            </w:pPr>
            <w:r>
              <w:rPr>
                <w:rFonts w:ascii="Verdana" w:hAnsi="Verdana"/>
                <w:b/>
                <w:bCs/>
              </w:rPr>
              <w:t>short</w:t>
            </w:r>
          </w:p>
        </w:tc>
        <w:tc>
          <w:tcPr>
            <w:tcW w:w="2396" w:type="dxa"/>
            <w:shd w:val="clear" w:color="auto" w:fill="C9C9C9" w:themeFill="accent3" w:themeFillTint="99"/>
          </w:tcPr>
          <w:p w14:paraId="1677FC3C" w14:textId="3C8126FC" w:rsidR="00547A72" w:rsidRPr="00547A72" w:rsidRDefault="00C76839">
            <w:pPr>
              <w:rPr>
                <w:rFonts w:ascii="Verdana" w:hAnsi="Verdana"/>
                <w:b/>
                <w:bCs/>
              </w:rPr>
            </w:pPr>
            <w:r>
              <w:rPr>
                <w:rFonts w:ascii="Verdana" w:hAnsi="Verdana"/>
                <w:b/>
                <w:bCs/>
              </w:rPr>
              <w:t>1</w:t>
            </w:r>
            <w:r w:rsidR="001672DF">
              <w:rPr>
                <w:rFonts w:ascii="Verdana" w:hAnsi="Verdana"/>
                <w:b/>
                <w:bCs/>
              </w:rPr>
              <w:t>3</w:t>
            </w:r>
            <w:r w:rsidR="007631E8">
              <w:rPr>
                <w:rFonts w:ascii="Verdana" w:hAnsi="Verdana"/>
                <w:b/>
                <w:bCs/>
              </w:rPr>
              <w:t>0,2</w:t>
            </w:r>
            <w:r w:rsidR="00E431A1">
              <w:rPr>
                <w:rFonts w:ascii="Verdana" w:hAnsi="Verdana"/>
                <w:b/>
                <w:bCs/>
              </w:rPr>
              <w:t>4</w:t>
            </w:r>
            <w:r>
              <w:rPr>
                <w:rFonts w:ascii="Verdana" w:hAnsi="Verdana"/>
                <w:b/>
                <w:bCs/>
              </w:rPr>
              <w:t>/1</w:t>
            </w:r>
            <w:r w:rsidR="00B171CF">
              <w:rPr>
                <w:rFonts w:ascii="Verdana" w:hAnsi="Verdana"/>
                <w:b/>
                <w:bCs/>
              </w:rPr>
              <w:t>3</w:t>
            </w:r>
            <w:r w:rsidR="00E431A1">
              <w:rPr>
                <w:rFonts w:ascii="Verdana" w:hAnsi="Verdana"/>
                <w:b/>
                <w:bCs/>
              </w:rPr>
              <w:t>6</w:t>
            </w:r>
          </w:p>
        </w:tc>
        <w:tc>
          <w:tcPr>
            <w:tcW w:w="2056" w:type="dxa"/>
            <w:shd w:val="clear" w:color="auto" w:fill="C9C9C9" w:themeFill="accent3" w:themeFillTint="99"/>
          </w:tcPr>
          <w:p w14:paraId="2FC7B3DA" w14:textId="2D149945" w:rsidR="00547A72" w:rsidRPr="00107B03" w:rsidRDefault="002D3A31">
            <w:pPr>
              <w:rPr>
                <w:rFonts w:ascii="Verdana" w:hAnsi="Verdana"/>
                <w:b/>
                <w:bCs/>
              </w:rPr>
            </w:pPr>
            <w:r>
              <w:rPr>
                <w:rFonts w:ascii="Verdana" w:hAnsi="Verdana"/>
                <w:b/>
                <w:bCs/>
              </w:rPr>
              <w:t>short</w:t>
            </w:r>
          </w:p>
        </w:tc>
      </w:tr>
      <w:tr w:rsidR="00547A72" w:rsidRPr="00547A72" w14:paraId="540DF590" w14:textId="1B4B89DD" w:rsidTr="00A26E44">
        <w:trPr>
          <w:trHeight w:val="535"/>
        </w:trPr>
        <w:tc>
          <w:tcPr>
            <w:tcW w:w="2760" w:type="dxa"/>
            <w:shd w:val="clear" w:color="auto" w:fill="C9C9C9" w:themeFill="accent3" w:themeFillTint="99"/>
          </w:tcPr>
          <w:p w14:paraId="69CCBD96" w14:textId="24DA0EE9" w:rsidR="00547A72" w:rsidRPr="00547A72" w:rsidRDefault="00547A72">
            <w:pPr>
              <w:rPr>
                <w:rFonts w:ascii="Verdana" w:hAnsi="Verdana"/>
                <w:b/>
                <w:bCs/>
              </w:rPr>
            </w:pPr>
            <w:r w:rsidRPr="00547A72">
              <w:rPr>
                <w:rFonts w:ascii="Verdana" w:hAnsi="Verdana"/>
                <w:b/>
                <w:bCs/>
              </w:rPr>
              <w:t>WTI OIL</w:t>
            </w:r>
          </w:p>
        </w:tc>
        <w:tc>
          <w:tcPr>
            <w:tcW w:w="2416" w:type="dxa"/>
            <w:shd w:val="clear" w:color="auto" w:fill="C9C9C9" w:themeFill="accent3" w:themeFillTint="99"/>
          </w:tcPr>
          <w:p w14:paraId="6E92226B" w14:textId="4CDFC7C4" w:rsidR="003B0B1A" w:rsidRPr="00547A72" w:rsidRDefault="00FF7D33">
            <w:pPr>
              <w:rPr>
                <w:rFonts w:ascii="Verdana" w:hAnsi="Verdana"/>
                <w:b/>
                <w:bCs/>
              </w:rPr>
            </w:pPr>
            <w:r>
              <w:rPr>
                <w:rFonts w:ascii="Verdana" w:hAnsi="Verdana"/>
                <w:b/>
                <w:bCs/>
              </w:rPr>
              <w:t>Laterale</w:t>
            </w:r>
            <w:r w:rsidR="002D3A31">
              <w:rPr>
                <w:rFonts w:ascii="Verdana" w:hAnsi="Verdana"/>
                <w:b/>
                <w:bCs/>
              </w:rPr>
              <w:t xml:space="preserve"> discendente</w:t>
            </w:r>
          </w:p>
        </w:tc>
        <w:tc>
          <w:tcPr>
            <w:tcW w:w="2396" w:type="dxa"/>
            <w:shd w:val="clear" w:color="auto" w:fill="C9C9C9" w:themeFill="accent3" w:themeFillTint="99"/>
          </w:tcPr>
          <w:p w14:paraId="773F5788" w14:textId="4685422C" w:rsidR="00547A72" w:rsidRPr="00547A72" w:rsidRDefault="002D3A31">
            <w:pPr>
              <w:rPr>
                <w:rFonts w:ascii="Verdana" w:hAnsi="Verdana"/>
                <w:b/>
                <w:bCs/>
              </w:rPr>
            </w:pPr>
            <w:r>
              <w:rPr>
                <w:rFonts w:ascii="Verdana" w:hAnsi="Verdana"/>
                <w:b/>
                <w:bCs/>
              </w:rPr>
              <w:t>7</w:t>
            </w:r>
            <w:r w:rsidR="00353F04">
              <w:rPr>
                <w:rFonts w:ascii="Verdana" w:hAnsi="Verdana"/>
                <w:b/>
                <w:bCs/>
              </w:rPr>
              <w:t>8</w:t>
            </w:r>
            <w:r w:rsidR="00332B93">
              <w:rPr>
                <w:rFonts w:ascii="Verdana" w:hAnsi="Verdana"/>
                <w:b/>
                <w:bCs/>
              </w:rPr>
              <w:t>/</w:t>
            </w:r>
            <w:r w:rsidR="00353F04">
              <w:rPr>
                <w:rFonts w:ascii="Verdana" w:hAnsi="Verdana"/>
                <w:b/>
                <w:bCs/>
              </w:rPr>
              <w:t>90</w:t>
            </w:r>
          </w:p>
        </w:tc>
        <w:tc>
          <w:tcPr>
            <w:tcW w:w="2056" w:type="dxa"/>
            <w:shd w:val="clear" w:color="auto" w:fill="C9C9C9" w:themeFill="accent3" w:themeFillTint="99"/>
          </w:tcPr>
          <w:p w14:paraId="3BF4AAB1" w14:textId="62BD12C8" w:rsidR="00547A72" w:rsidRPr="00547A72" w:rsidRDefault="002D3A31">
            <w:pPr>
              <w:rPr>
                <w:rFonts w:ascii="Verdana" w:hAnsi="Verdana"/>
                <w:b/>
                <w:bCs/>
              </w:rPr>
            </w:pPr>
            <w:r>
              <w:rPr>
                <w:rFonts w:ascii="Verdana" w:hAnsi="Verdana"/>
                <w:b/>
                <w:bCs/>
              </w:rPr>
              <w:t>wait</w:t>
            </w:r>
          </w:p>
        </w:tc>
      </w:tr>
      <w:tr w:rsidR="00547A72" w:rsidRPr="00547A72" w14:paraId="761F8992" w14:textId="3445261D" w:rsidTr="00A26E44">
        <w:trPr>
          <w:trHeight w:val="535"/>
        </w:trPr>
        <w:tc>
          <w:tcPr>
            <w:tcW w:w="2760" w:type="dxa"/>
            <w:shd w:val="clear" w:color="auto" w:fill="C9C9C9" w:themeFill="accent3" w:themeFillTint="99"/>
          </w:tcPr>
          <w:p w14:paraId="36928A94" w14:textId="6AD4AEB7" w:rsidR="00547A72" w:rsidRPr="00547A72" w:rsidRDefault="00547A72">
            <w:pPr>
              <w:rPr>
                <w:rFonts w:ascii="Verdana" w:hAnsi="Verdana"/>
                <w:b/>
                <w:bCs/>
              </w:rPr>
            </w:pPr>
            <w:r w:rsidRPr="00547A72">
              <w:rPr>
                <w:rFonts w:ascii="Verdana" w:hAnsi="Verdana"/>
                <w:b/>
                <w:bCs/>
              </w:rPr>
              <w:t>DAX</w:t>
            </w:r>
          </w:p>
        </w:tc>
        <w:tc>
          <w:tcPr>
            <w:tcW w:w="2416" w:type="dxa"/>
            <w:shd w:val="clear" w:color="auto" w:fill="C9C9C9" w:themeFill="accent3" w:themeFillTint="99"/>
          </w:tcPr>
          <w:p w14:paraId="2EDB0D82" w14:textId="22BEE698" w:rsidR="007F1A92" w:rsidRPr="00547A72" w:rsidRDefault="001A2253">
            <w:pPr>
              <w:rPr>
                <w:rFonts w:ascii="Verdana" w:hAnsi="Verdana"/>
                <w:b/>
                <w:bCs/>
              </w:rPr>
            </w:pPr>
            <w:r>
              <w:rPr>
                <w:rFonts w:ascii="Verdana" w:hAnsi="Verdana"/>
                <w:b/>
                <w:bCs/>
              </w:rPr>
              <w:t>long</w:t>
            </w:r>
          </w:p>
        </w:tc>
        <w:tc>
          <w:tcPr>
            <w:tcW w:w="2396" w:type="dxa"/>
            <w:shd w:val="clear" w:color="auto" w:fill="C9C9C9" w:themeFill="accent3" w:themeFillTint="99"/>
          </w:tcPr>
          <w:p w14:paraId="24A2017B" w14:textId="08B40838" w:rsidR="00547A72" w:rsidRPr="00547A72" w:rsidRDefault="00C76839">
            <w:pPr>
              <w:rPr>
                <w:rFonts w:ascii="Verdana" w:hAnsi="Verdana"/>
                <w:b/>
                <w:bCs/>
              </w:rPr>
            </w:pPr>
            <w:r>
              <w:rPr>
                <w:rFonts w:ascii="Verdana" w:hAnsi="Verdana"/>
                <w:b/>
                <w:bCs/>
              </w:rPr>
              <w:t>1</w:t>
            </w:r>
            <w:r w:rsidR="003D34F1">
              <w:rPr>
                <w:rFonts w:ascii="Verdana" w:hAnsi="Verdana"/>
                <w:b/>
                <w:bCs/>
              </w:rPr>
              <w:t>71</w:t>
            </w:r>
            <w:r w:rsidR="00332B93">
              <w:rPr>
                <w:rFonts w:ascii="Verdana" w:hAnsi="Verdana"/>
                <w:b/>
                <w:bCs/>
              </w:rPr>
              <w:t>00</w:t>
            </w:r>
            <w:r>
              <w:rPr>
                <w:rFonts w:ascii="Verdana" w:hAnsi="Verdana"/>
                <w:b/>
                <w:bCs/>
              </w:rPr>
              <w:t>/1</w:t>
            </w:r>
            <w:r w:rsidR="003D34F1">
              <w:rPr>
                <w:rFonts w:ascii="Verdana" w:hAnsi="Verdana"/>
                <w:b/>
                <w:bCs/>
              </w:rPr>
              <w:t>80</w:t>
            </w:r>
            <w:r w:rsidR="00332B93">
              <w:rPr>
                <w:rFonts w:ascii="Verdana" w:hAnsi="Verdana"/>
                <w:b/>
                <w:bCs/>
              </w:rPr>
              <w:t>00</w:t>
            </w:r>
          </w:p>
        </w:tc>
        <w:tc>
          <w:tcPr>
            <w:tcW w:w="2056" w:type="dxa"/>
            <w:shd w:val="clear" w:color="auto" w:fill="C9C9C9" w:themeFill="accent3" w:themeFillTint="99"/>
          </w:tcPr>
          <w:p w14:paraId="5BD3E9E5" w14:textId="73ACE3D2" w:rsidR="00547A72" w:rsidRPr="00547A72" w:rsidRDefault="00C01BA2">
            <w:pPr>
              <w:rPr>
                <w:rFonts w:ascii="Verdana" w:hAnsi="Verdana"/>
                <w:b/>
                <w:bCs/>
              </w:rPr>
            </w:pPr>
            <w:r>
              <w:rPr>
                <w:rFonts w:ascii="Verdana" w:hAnsi="Verdana"/>
                <w:b/>
                <w:bCs/>
              </w:rPr>
              <w:t>wait</w:t>
            </w:r>
          </w:p>
        </w:tc>
      </w:tr>
      <w:tr w:rsidR="00547A72" w:rsidRPr="00547A72" w14:paraId="156FF85B" w14:textId="6BC0DB58" w:rsidTr="00A26E44">
        <w:trPr>
          <w:trHeight w:val="535"/>
        </w:trPr>
        <w:tc>
          <w:tcPr>
            <w:tcW w:w="2760" w:type="dxa"/>
            <w:shd w:val="clear" w:color="auto" w:fill="C9C9C9" w:themeFill="accent3" w:themeFillTint="99"/>
          </w:tcPr>
          <w:p w14:paraId="32EDA797" w14:textId="0714A9AE" w:rsidR="00547A72" w:rsidRPr="00547A72" w:rsidRDefault="00547A72">
            <w:pPr>
              <w:rPr>
                <w:rFonts w:ascii="Verdana" w:hAnsi="Verdana"/>
                <w:b/>
                <w:bCs/>
              </w:rPr>
            </w:pPr>
            <w:r w:rsidRPr="00547A72">
              <w:rPr>
                <w:rFonts w:ascii="Verdana" w:hAnsi="Verdana"/>
                <w:b/>
                <w:bCs/>
              </w:rPr>
              <w:t>EUROSTOXX50</w:t>
            </w:r>
          </w:p>
        </w:tc>
        <w:tc>
          <w:tcPr>
            <w:tcW w:w="2416" w:type="dxa"/>
            <w:shd w:val="clear" w:color="auto" w:fill="C9C9C9" w:themeFill="accent3" w:themeFillTint="99"/>
          </w:tcPr>
          <w:p w14:paraId="624327F1" w14:textId="08441061" w:rsidR="00547A72" w:rsidRPr="00547A72" w:rsidRDefault="001A2253">
            <w:pPr>
              <w:rPr>
                <w:rFonts w:ascii="Verdana" w:hAnsi="Verdana"/>
                <w:b/>
                <w:bCs/>
              </w:rPr>
            </w:pPr>
            <w:r>
              <w:rPr>
                <w:rFonts w:ascii="Verdana" w:hAnsi="Verdana"/>
                <w:b/>
                <w:bCs/>
              </w:rPr>
              <w:t>long</w:t>
            </w:r>
          </w:p>
        </w:tc>
        <w:tc>
          <w:tcPr>
            <w:tcW w:w="2396" w:type="dxa"/>
            <w:shd w:val="clear" w:color="auto" w:fill="C9C9C9" w:themeFill="accent3" w:themeFillTint="99"/>
          </w:tcPr>
          <w:p w14:paraId="45602B75" w14:textId="0570A859" w:rsidR="00547A72" w:rsidRPr="00547A72" w:rsidRDefault="00C76839">
            <w:pPr>
              <w:rPr>
                <w:rFonts w:ascii="Verdana" w:hAnsi="Verdana"/>
                <w:b/>
                <w:bCs/>
              </w:rPr>
            </w:pPr>
            <w:r>
              <w:rPr>
                <w:rFonts w:ascii="Verdana" w:hAnsi="Verdana"/>
                <w:b/>
                <w:bCs/>
              </w:rPr>
              <w:t>4</w:t>
            </w:r>
            <w:r w:rsidR="00DB320B">
              <w:rPr>
                <w:rFonts w:ascii="Verdana" w:hAnsi="Verdana"/>
                <w:b/>
                <w:bCs/>
              </w:rPr>
              <w:t>60</w:t>
            </w:r>
            <w:r w:rsidR="00332B93">
              <w:rPr>
                <w:rFonts w:ascii="Verdana" w:hAnsi="Verdana"/>
                <w:b/>
                <w:bCs/>
              </w:rPr>
              <w:t>0</w:t>
            </w:r>
            <w:r>
              <w:rPr>
                <w:rFonts w:ascii="Verdana" w:hAnsi="Verdana"/>
                <w:b/>
                <w:bCs/>
              </w:rPr>
              <w:t>/</w:t>
            </w:r>
            <w:r w:rsidR="00DB320B">
              <w:rPr>
                <w:rFonts w:ascii="Verdana" w:hAnsi="Verdana"/>
                <w:b/>
                <w:bCs/>
              </w:rPr>
              <w:t>495</w:t>
            </w:r>
            <w:r>
              <w:rPr>
                <w:rFonts w:ascii="Verdana" w:hAnsi="Verdana"/>
                <w:b/>
                <w:bCs/>
              </w:rPr>
              <w:t>0</w:t>
            </w:r>
          </w:p>
        </w:tc>
        <w:tc>
          <w:tcPr>
            <w:tcW w:w="2056" w:type="dxa"/>
            <w:shd w:val="clear" w:color="auto" w:fill="C9C9C9" w:themeFill="accent3" w:themeFillTint="99"/>
          </w:tcPr>
          <w:p w14:paraId="60ABA10C" w14:textId="49BDD01D" w:rsidR="00547A72" w:rsidRPr="00547A72" w:rsidRDefault="00C01BA2">
            <w:pPr>
              <w:rPr>
                <w:rFonts w:ascii="Verdana" w:hAnsi="Verdana"/>
                <w:b/>
                <w:bCs/>
              </w:rPr>
            </w:pPr>
            <w:r>
              <w:rPr>
                <w:rFonts w:ascii="Verdana" w:hAnsi="Verdana"/>
                <w:b/>
                <w:bCs/>
              </w:rPr>
              <w:t>wait</w:t>
            </w:r>
          </w:p>
        </w:tc>
      </w:tr>
      <w:tr w:rsidR="00547A72" w:rsidRPr="00547A72" w14:paraId="2CEADB43" w14:textId="334E40B9" w:rsidTr="00A26E44">
        <w:trPr>
          <w:trHeight w:val="535"/>
        </w:trPr>
        <w:tc>
          <w:tcPr>
            <w:tcW w:w="2760" w:type="dxa"/>
            <w:shd w:val="clear" w:color="auto" w:fill="C9C9C9" w:themeFill="accent3" w:themeFillTint="99"/>
          </w:tcPr>
          <w:p w14:paraId="03976E2A" w14:textId="264CE412" w:rsidR="00547A72" w:rsidRPr="00547A72" w:rsidRDefault="00547A72">
            <w:pPr>
              <w:rPr>
                <w:rFonts w:ascii="Verdana" w:hAnsi="Verdana"/>
                <w:b/>
                <w:bCs/>
              </w:rPr>
            </w:pPr>
            <w:r w:rsidRPr="00547A72">
              <w:rPr>
                <w:rFonts w:ascii="Verdana" w:hAnsi="Verdana"/>
                <w:b/>
                <w:bCs/>
              </w:rPr>
              <w:t>NASDAQ</w:t>
            </w:r>
          </w:p>
        </w:tc>
        <w:tc>
          <w:tcPr>
            <w:tcW w:w="2416" w:type="dxa"/>
            <w:shd w:val="clear" w:color="auto" w:fill="C9C9C9" w:themeFill="accent3" w:themeFillTint="99"/>
          </w:tcPr>
          <w:p w14:paraId="6369F016" w14:textId="4B83788D" w:rsidR="00547A72" w:rsidRPr="00547A72" w:rsidRDefault="007D59FC">
            <w:pPr>
              <w:rPr>
                <w:rFonts w:ascii="Verdana" w:hAnsi="Verdana"/>
                <w:b/>
                <w:bCs/>
              </w:rPr>
            </w:pPr>
            <w:r>
              <w:rPr>
                <w:rFonts w:ascii="Verdana" w:hAnsi="Verdana"/>
                <w:b/>
                <w:bCs/>
              </w:rPr>
              <w:t>long</w:t>
            </w:r>
          </w:p>
        </w:tc>
        <w:tc>
          <w:tcPr>
            <w:tcW w:w="2396" w:type="dxa"/>
            <w:shd w:val="clear" w:color="auto" w:fill="C9C9C9" w:themeFill="accent3" w:themeFillTint="99"/>
          </w:tcPr>
          <w:p w14:paraId="722C69FC" w14:textId="692BAF23" w:rsidR="00547A72" w:rsidRPr="00547A72" w:rsidRDefault="0057543C">
            <w:pPr>
              <w:rPr>
                <w:rFonts w:ascii="Verdana" w:hAnsi="Verdana"/>
                <w:b/>
                <w:bCs/>
              </w:rPr>
            </w:pPr>
            <w:r>
              <w:rPr>
                <w:rFonts w:ascii="Verdana" w:hAnsi="Verdana"/>
                <w:b/>
                <w:bCs/>
              </w:rPr>
              <w:t>1</w:t>
            </w:r>
            <w:r w:rsidR="00643144">
              <w:rPr>
                <w:rFonts w:ascii="Verdana" w:hAnsi="Verdana"/>
                <w:b/>
                <w:bCs/>
              </w:rPr>
              <w:t>6</w:t>
            </w:r>
            <w:r w:rsidR="003D34F1">
              <w:rPr>
                <w:rFonts w:ascii="Verdana" w:hAnsi="Verdana"/>
                <w:b/>
                <w:bCs/>
              </w:rPr>
              <w:t>6</w:t>
            </w:r>
            <w:r>
              <w:rPr>
                <w:rFonts w:ascii="Verdana" w:hAnsi="Verdana"/>
                <w:b/>
                <w:bCs/>
              </w:rPr>
              <w:t>00/1</w:t>
            </w:r>
            <w:r w:rsidR="007D763B">
              <w:rPr>
                <w:rFonts w:ascii="Verdana" w:hAnsi="Verdana"/>
                <w:b/>
                <w:bCs/>
              </w:rPr>
              <w:t>8</w:t>
            </w:r>
            <w:r w:rsidR="003D34F1">
              <w:rPr>
                <w:rFonts w:ascii="Verdana" w:hAnsi="Verdana"/>
                <w:b/>
                <w:bCs/>
              </w:rPr>
              <w:t>5</w:t>
            </w:r>
            <w:r w:rsidR="00332B93">
              <w:rPr>
                <w:rFonts w:ascii="Verdana" w:hAnsi="Verdana"/>
                <w:b/>
                <w:bCs/>
              </w:rPr>
              <w:t>00</w:t>
            </w:r>
          </w:p>
        </w:tc>
        <w:tc>
          <w:tcPr>
            <w:tcW w:w="2056" w:type="dxa"/>
            <w:shd w:val="clear" w:color="auto" w:fill="C9C9C9" w:themeFill="accent3" w:themeFillTint="99"/>
          </w:tcPr>
          <w:p w14:paraId="5C15BA3E" w14:textId="40661653" w:rsidR="00547A72" w:rsidRPr="00547A72" w:rsidRDefault="002D3A31">
            <w:pPr>
              <w:rPr>
                <w:rFonts w:ascii="Verdana" w:hAnsi="Verdana"/>
                <w:b/>
                <w:bCs/>
              </w:rPr>
            </w:pPr>
            <w:r>
              <w:rPr>
                <w:rFonts w:ascii="Verdana" w:hAnsi="Verdana"/>
                <w:b/>
                <w:bCs/>
              </w:rPr>
              <w:t>long</w:t>
            </w:r>
          </w:p>
        </w:tc>
      </w:tr>
      <w:tr w:rsidR="00547A72" w:rsidRPr="00547A72" w14:paraId="21F6753C" w14:textId="4896CFD6" w:rsidTr="00A26E44">
        <w:trPr>
          <w:trHeight w:val="535"/>
        </w:trPr>
        <w:tc>
          <w:tcPr>
            <w:tcW w:w="2760" w:type="dxa"/>
            <w:shd w:val="clear" w:color="auto" w:fill="C9C9C9" w:themeFill="accent3" w:themeFillTint="99"/>
          </w:tcPr>
          <w:p w14:paraId="48EA76C6" w14:textId="5E876CF1" w:rsidR="00547A72" w:rsidRPr="00547A72" w:rsidRDefault="00547A72">
            <w:pPr>
              <w:rPr>
                <w:rFonts w:ascii="Verdana" w:hAnsi="Verdana"/>
                <w:b/>
                <w:bCs/>
              </w:rPr>
            </w:pPr>
            <w:r w:rsidRPr="00547A72">
              <w:rPr>
                <w:rFonts w:ascii="Verdana" w:hAnsi="Verdana"/>
                <w:b/>
                <w:bCs/>
              </w:rPr>
              <w:t>S&amp;P500</w:t>
            </w:r>
          </w:p>
        </w:tc>
        <w:tc>
          <w:tcPr>
            <w:tcW w:w="2416" w:type="dxa"/>
            <w:shd w:val="clear" w:color="auto" w:fill="C9C9C9" w:themeFill="accent3" w:themeFillTint="99"/>
          </w:tcPr>
          <w:p w14:paraId="65DB772C" w14:textId="4188A817" w:rsidR="00547A72" w:rsidRPr="00547A72" w:rsidRDefault="007D59FC">
            <w:pPr>
              <w:rPr>
                <w:rFonts w:ascii="Verdana" w:hAnsi="Verdana"/>
                <w:b/>
                <w:bCs/>
              </w:rPr>
            </w:pPr>
            <w:r>
              <w:rPr>
                <w:rFonts w:ascii="Verdana" w:hAnsi="Verdana"/>
                <w:b/>
                <w:bCs/>
              </w:rPr>
              <w:t>long</w:t>
            </w:r>
          </w:p>
        </w:tc>
        <w:tc>
          <w:tcPr>
            <w:tcW w:w="2396" w:type="dxa"/>
            <w:shd w:val="clear" w:color="auto" w:fill="C9C9C9" w:themeFill="accent3" w:themeFillTint="99"/>
          </w:tcPr>
          <w:p w14:paraId="2F77CCBF" w14:textId="74F78E7C" w:rsidR="00547A72" w:rsidRPr="00547A72" w:rsidRDefault="003D34F1">
            <w:pPr>
              <w:rPr>
                <w:rFonts w:ascii="Verdana" w:hAnsi="Verdana"/>
                <w:b/>
                <w:bCs/>
              </w:rPr>
            </w:pPr>
            <w:r>
              <w:rPr>
                <w:rFonts w:ascii="Verdana" w:hAnsi="Verdana"/>
                <w:b/>
                <w:bCs/>
              </w:rPr>
              <w:t>5088</w:t>
            </w:r>
            <w:r w:rsidR="00C76839">
              <w:rPr>
                <w:rFonts w:ascii="Verdana" w:hAnsi="Verdana"/>
                <w:b/>
                <w:bCs/>
              </w:rPr>
              <w:t>/</w:t>
            </w:r>
            <w:r w:rsidR="007D763B">
              <w:rPr>
                <w:rFonts w:ascii="Verdana" w:hAnsi="Verdana"/>
                <w:b/>
                <w:bCs/>
              </w:rPr>
              <w:t>5</w:t>
            </w:r>
            <w:r w:rsidR="00D62488">
              <w:rPr>
                <w:rFonts w:ascii="Verdana" w:hAnsi="Verdana"/>
                <w:b/>
                <w:bCs/>
              </w:rPr>
              <w:t>3</w:t>
            </w:r>
            <w:r w:rsidR="00DB320B">
              <w:rPr>
                <w:rFonts w:ascii="Verdana" w:hAnsi="Verdana"/>
                <w:b/>
                <w:bCs/>
              </w:rPr>
              <w:t>00</w:t>
            </w:r>
          </w:p>
        </w:tc>
        <w:tc>
          <w:tcPr>
            <w:tcW w:w="2056" w:type="dxa"/>
            <w:shd w:val="clear" w:color="auto" w:fill="C9C9C9" w:themeFill="accent3" w:themeFillTint="99"/>
          </w:tcPr>
          <w:p w14:paraId="5CB0337C" w14:textId="0CB54FFF" w:rsidR="00547A72" w:rsidRPr="00547A72" w:rsidRDefault="00C01BA2">
            <w:pPr>
              <w:rPr>
                <w:rFonts w:ascii="Verdana" w:hAnsi="Verdana"/>
                <w:b/>
                <w:bCs/>
              </w:rPr>
            </w:pPr>
            <w:r>
              <w:rPr>
                <w:rFonts w:ascii="Verdana" w:hAnsi="Verdana"/>
                <w:b/>
                <w:bCs/>
              </w:rPr>
              <w:t>wait</w:t>
            </w:r>
          </w:p>
        </w:tc>
      </w:tr>
      <w:tr w:rsidR="00547A72" w:rsidRPr="00547A72" w14:paraId="36A73E7D" w14:textId="6EB407B7" w:rsidTr="00F7289B">
        <w:trPr>
          <w:trHeight w:val="577"/>
        </w:trPr>
        <w:tc>
          <w:tcPr>
            <w:tcW w:w="2760" w:type="dxa"/>
            <w:shd w:val="clear" w:color="auto" w:fill="C9C9C9" w:themeFill="accent3" w:themeFillTint="99"/>
          </w:tcPr>
          <w:p w14:paraId="06FC3AF8" w14:textId="1330B752" w:rsidR="00547A72" w:rsidRPr="00547A72" w:rsidRDefault="00547A72">
            <w:pPr>
              <w:rPr>
                <w:rFonts w:ascii="Verdana" w:hAnsi="Verdana"/>
                <w:b/>
                <w:bCs/>
              </w:rPr>
            </w:pPr>
            <w:r w:rsidRPr="00547A72">
              <w:rPr>
                <w:rFonts w:ascii="Verdana" w:hAnsi="Verdana"/>
                <w:b/>
                <w:bCs/>
              </w:rPr>
              <w:lastRenderedPageBreak/>
              <w:t>GOLD</w:t>
            </w:r>
          </w:p>
        </w:tc>
        <w:tc>
          <w:tcPr>
            <w:tcW w:w="2416" w:type="dxa"/>
            <w:shd w:val="clear" w:color="auto" w:fill="C9C9C9" w:themeFill="accent3" w:themeFillTint="99"/>
          </w:tcPr>
          <w:p w14:paraId="156EEA1A" w14:textId="71D0138E" w:rsidR="003D34F1" w:rsidRPr="00547A72" w:rsidRDefault="00F7289B">
            <w:pPr>
              <w:rPr>
                <w:rFonts w:ascii="Verdana" w:hAnsi="Verdana"/>
                <w:b/>
                <w:bCs/>
              </w:rPr>
            </w:pPr>
            <w:r>
              <w:rPr>
                <w:rFonts w:ascii="Verdana" w:hAnsi="Verdana"/>
                <w:b/>
                <w:bCs/>
              </w:rPr>
              <w:t>long</w:t>
            </w:r>
          </w:p>
        </w:tc>
        <w:tc>
          <w:tcPr>
            <w:tcW w:w="2396" w:type="dxa"/>
            <w:shd w:val="clear" w:color="auto" w:fill="C9C9C9" w:themeFill="accent3" w:themeFillTint="99"/>
          </w:tcPr>
          <w:p w14:paraId="5B17AF26" w14:textId="7D0E7214" w:rsidR="00547A72" w:rsidRPr="00547A72" w:rsidRDefault="00353F04">
            <w:pPr>
              <w:rPr>
                <w:rFonts w:ascii="Verdana" w:hAnsi="Verdana"/>
                <w:b/>
                <w:bCs/>
              </w:rPr>
            </w:pPr>
            <w:r>
              <w:rPr>
                <w:rFonts w:ascii="Verdana" w:hAnsi="Verdana"/>
                <w:b/>
                <w:bCs/>
              </w:rPr>
              <w:t>2080/</w:t>
            </w:r>
            <w:r w:rsidR="003D34F1">
              <w:rPr>
                <w:rFonts w:ascii="Verdana" w:hAnsi="Verdana"/>
                <w:b/>
                <w:bCs/>
              </w:rPr>
              <w:t>2</w:t>
            </w:r>
            <w:r w:rsidR="007B79B6">
              <w:rPr>
                <w:rFonts w:ascii="Verdana" w:hAnsi="Verdana"/>
                <w:b/>
                <w:bCs/>
              </w:rPr>
              <w:t>25</w:t>
            </w:r>
            <w:r>
              <w:rPr>
                <w:rFonts w:ascii="Verdana" w:hAnsi="Verdana"/>
                <w:b/>
                <w:bCs/>
              </w:rPr>
              <w:t>0</w:t>
            </w:r>
            <w:r w:rsidR="00C76839">
              <w:rPr>
                <w:rFonts w:ascii="Verdana" w:hAnsi="Verdana"/>
                <w:b/>
                <w:bCs/>
              </w:rPr>
              <w:t>/</w:t>
            </w:r>
            <w:r w:rsidR="00A44C89">
              <w:rPr>
                <w:rFonts w:ascii="Verdana" w:hAnsi="Verdana"/>
                <w:b/>
                <w:bCs/>
              </w:rPr>
              <w:t>2</w:t>
            </w:r>
            <w:r w:rsidR="007B79B6">
              <w:rPr>
                <w:rFonts w:ascii="Verdana" w:hAnsi="Verdana"/>
                <w:b/>
                <w:bCs/>
              </w:rPr>
              <w:t>417</w:t>
            </w:r>
          </w:p>
        </w:tc>
        <w:tc>
          <w:tcPr>
            <w:tcW w:w="2056" w:type="dxa"/>
            <w:shd w:val="clear" w:color="auto" w:fill="C9C9C9" w:themeFill="accent3" w:themeFillTint="99"/>
          </w:tcPr>
          <w:p w14:paraId="0B98F85C" w14:textId="7A302DAD" w:rsidR="00547A72" w:rsidRPr="00547A72" w:rsidRDefault="00C01BA2">
            <w:pPr>
              <w:rPr>
                <w:rFonts w:ascii="Verdana" w:hAnsi="Verdana"/>
                <w:b/>
                <w:bCs/>
              </w:rPr>
            </w:pPr>
            <w:r>
              <w:rPr>
                <w:rFonts w:ascii="Verdana" w:hAnsi="Verdana"/>
                <w:b/>
                <w:bCs/>
              </w:rPr>
              <w:t>short</w:t>
            </w:r>
          </w:p>
        </w:tc>
      </w:tr>
      <w:tr w:rsidR="00547A72" w:rsidRPr="00547A72" w14:paraId="28EDFAEC" w14:textId="067CA516" w:rsidTr="00A26E44">
        <w:trPr>
          <w:trHeight w:val="535"/>
        </w:trPr>
        <w:tc>
          <w:tcPr>
            <w:tcW w:w="2760" w:type="dxa"/>
            <w:shd w:val="clear" w:color="auto" w:fill="C9C9C9" w:themeFill="accent3" w:themeFillTint="99"/>
          </w:tcPr>
          <w:p w14:paraId="13912D00" w14:textId="669B3B42" w:rsidR="00547A72" w:rsidRPr="00547A72" w:rsidRDefault="00547A72">
            <w:pPr>
              <w:rPr>
                <w:rFonts w:ascii="Verdana" w:hAnsi="Verdana"/>
                <w:b/>
                <w:bCs/>
              </w:rPr>
            </w:pPr>
            <w:r w:rsidRPr="00547A72">
              <w:rPr>
                <w:rFonts w:ascii="Verdana" w:hAnsi="Verdana"/>
                <w:b/>
                <w:bCs/>
              </w:rPr>
              <w:t>SILVER</w:t>
            </w:r>
          </w:p>
        </w:tc>
        <w:tc>
          <w:tcPr>
            <w:tcW w:w="2416" w:type="dxa"/>
            <w:shd w:val="clear" w:color="auto" w:fill="C9C9C9" w:themeFill="accent3" w:themeFillTint="99"/>
          </w:tcPr>
          <w:p w14:paraId="43781744" w14:textId="6FD9D1CD" w:rsidR="00547A72" w:rsidRPr="00547A72" w:rsidRDefault="002D3A31">
            <w:pPr>
              <w:rPr>
                <w:rFonts w:ascii="Verdana" w:hAnsi="Verdana"/>
                <w:b/>
                <w:bCs/>
              </w:rPr>
            </w:pPr>
            <w:r>
              <w:rPr>
                <w:rFonts w:ascii="Verdana" w:hAnsi="Verdana"/>
                <w:b/>
                <w:bCs/>
              </w:rPr>
              <w:t>long</w:t>
            </w:r>
          </w:p>
        </w:tc>
        <w:tc>
          <w:tcPr>
            <w:tcW w:w="2396" w:type="dxa"/>
            <w:shd w:val="clear" w:color="auto" w:fill="C9C9C9" w:themeFill="accent3" w:themeFillTint="99"/>
          </w:tcPr>
          <w:p w14:paraId="7121635E" w14:textId="21FDC3E4" w:rsidR="00547A72" w:rsidRPr="00547A72" w:rsidRDefault="00C76839">
            <w:pPr>
              <w:rPr>
                <w:rFonts w:ascii="Verdana" w:hAnsi="Verdana"/>
                <w:b/>
                <w:bCs/>
              </w:rPr>
            </w:pPr>
            <w:r>
              <w:rPr>
                <w:rFonts w:ascii="Verdana" w:hAnsi="Verdana"/>
                <w:b/>
                <w:bCs/>
              </w:rPr>
              <w:t>2</w:t>
            </w:r>
            <w:r w:rsidR="00353F04">
              <w:rPr>
                <w:rFonts w:ascii="Verdana" w:hAnsi="Verdana"/>
                <w:b/>
                <w:bCs/>
              </w:rPr>
              <w:t>6</w:t>
            </w:r>
            <w:r>
              <w:rPr>
                <w:rFonts w:ascii="Verdana" w:hAnsi="Verdana"/>
                <w:b/>
                <w:bCs/>
              </w:rPr>
              <w:t>/</w:t>
            </w:r>
            <w:r w:rsidR="00353F04">
              <w:rPr>
                <w:rFonts w:ascii="Verdana" w:hAnsi="Verdana"/>
                <w:b/>
                <w:bCs/>
              </w:rPr>
              <w:t>30</w:t>
            </w:r>
          </w:p>
        </w:tc>
        <w:tc>
          <w:tcPr>
            <w:tcW w:w="2056" w:type="dxa"/>
            <w:shd w:val="clear" w:color="auto" w:fill="C9C9C9" w:themeFill="accent3" w:themeFillTint="99"/>
          </w:tcPr>
          <w:p w14:paraId="76D5F14A" w14:textId="1833868F" w:rsidR="00547A72" w:rsidRPr="007B79B6" w:rsidRDefault="00C01BA2">
            <w:pPr>
              <w:rPr>
                <w:rFonts w:ascii="Verdana" w:hAnsi="Verdana"/>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1BA2">
              <w:rPr>
                <w:rFonts w:ascii="Verdana" w:hAnsi="Verdana"/>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wait</w:t>
            </w:r>
          </w:p>
        </w:tc>
      </w:tr>
      <w:tr w:rsidR="00547A72" w:rsidRPr="00547A72" w14:paraId="44A0B043" w14:textId="08969BD9" w:rsidTr="00A26E44">
        <w:trPr>
          <w:trHeight w:val="535"/>
        </w:trPr>
        <w:tc>
          <w:tcPr>
            <w:tcW w:w="2760" w:type="dxa"/>
            <w:shd w:val="clear" w:color="auto" w:fill="C9C9C9" w:themeFill="accent3" w:themeFillTint="99"/>
          </w:tcPr>
          <w:p w14:paraId="1C3E423B" w14:textId="5F55C1D1" w:rsidR="00547A72" w:rsidRPr="00547A72" w:rsidRDefault="00547A72">
            <w:pPr>
              <w:rPr>
                <w:rFonts w:ascii="Verdana" w:hAnsi="Verdana"/>
                <w:b/>
                <w:bCs/>
              </w:rPr>
            </w:pPr>
            <w:r w:rsidRPr="00547A72">
              <w:rPr>
                <w:rFonts w:ascii="Verdana" w:hAnsi="Verdana"/>
                <w:b/>
                <w:bCs/>
              </w:rPr>
              <w:t>€/$</w:t>
            </w:r>
          </w:p>
        </w:tc>
        <w:tc>
          <w:tcPr>
            <w:tcW w:w="2416" w:type="dxa"/>
            <w:shd w:val="clear" w:color="auto" w:fill="C9C9C9" w:themeFill="accent3" w:themeFillTint="99"/>
          </w:tcPr>
          <w:p w14:paraId="1B7F9300" w14:textId="6415E4D2" w:rsidR="00547A72" w:rsidRPr="00547A72" w:rsidRDefault="001A2253">
            <w:pPr>
              <w:rPr>
                <w:rFonts w:ascii="Verdana" w:hAnsi="Verdana"/>
                <w:b/>
                <w:bCs/>
              </w:rPr>
            </w:pPr>
            <w:r>
              <w:rPr>
                <w:rFonts w:ascii="Verdana" w:hAnsi="Verdana"/>
                <w:b/>
                <w:bCs/>
              </w:rPr>
              <w:t>laterale</w:t>
            </w:r>
          </w:p>
        </w:tc>
        <w:tc>
          <w:tcPr>
            <w:tcW w:w="2396" w:type="dxa"/>
            <w:shd w:val="clear" w:color="auto" w:fill="C9C9C9" w:themeFill="accent3" w:themeFillTint="99"/>
          </w:tcPr>
          <w:p w14:paraId="08371802" w14:textId="778ADB86" w:rsidR="00547A72" w:rsidRPr="00547A72" w:rsidRDefault="00A3640E">
            <w:pPr>
              <w:rPr>
                <w:rFonts w:ascii="Verdana" w:hAnsi="Verdana"/>
                <w:b/>
                <w:bCs/>
              </w:rPr>
            </w:pPr>
            <w:r>
              <w:rPr>
                <w:rFonts w:ascii="Verdana" w:hAnsi="Verdana"/>
                <w:b/>
                <w:bCs/>
              </w:rPr>
              <w:t>1.</w:t>
            </w:r>
            <w:r w:rsidR="00640378">
              <w:rPr>
                <w:rFonts w:ascii="Verdana" w:hAnsi="Verdana"/>
                <w:b/>
                <w:bCs/>
              </w:rPr>
              <w:t>0</w:t>
            </w:r>
            <w:r w:rsidR="00B21CD2">
              <w:rPr>
                <w:rFonts w:ascii="Verdana" w:hAnsi="Verdana"/>
                <w:b/>
                <w:bCs/>
              </w:rPr>
              <w:t>6</w:t>
            </w:r>
            <w:r>
              <w:rPr>
                <w:rFonts w:ascii="Verdana" w:hAnsi="Verdana"/>
                <w:b/>
                <w:bCs/>
              </w:rPr>
              <w:t>/</w:t>
            </w:r>
            <w:r w:rsidR="0011535C">
              <w:rPr>
                <w:rFonts w:ascii="Verdana" w:hAnsi="Verdana"/>
                <w:b/>
                <w:bCs/>
              </w:rPr>
              <w:t>1.0</w:t>
            </w:r>
            <w:r w:rsidR="003D34F1">
              <w:rPr>
                <w:rFonts w:ascii="Verdana" w:hAnsi="Verdana"/>
                <w:b/>
                <w:bCs/>
              </w:rPr>
              <w:t>10</w:t>
            </w:r>
            <w:r w:rsidR="0011535C">
              <w:rPr>
                <w:rFonts w:ascii="Verdana" w:hAnsi="Verdana"/>
                <w:b/>
                <w:bCs/>
              </w:rPr>
              <w:t>/</w:t>
            </w:r>
            <w:r>
              <w:rPr>
                <w:rFonts w:ascii="Verdana" w:hAnsi="Verdana"/>
                <w:b/>
                <w:bCs/>
              </w:rPr>
              <w:t>1.</w:t>
            </w:r>
            <w:r w:rsidR="00610441">
              <w:rPr>
                <w:rFonts w:ascii="Verdana" w:hAnsi="Verdana"/>
                <w:b/>
                <w:bCs/>
              </w:rPr>
              <w:t>11</w:t>
            </w:r>
            <w:r w:rsidR="0011535C">
              <w:rPr>
                <w:rFonts w:ascii="Verdana" w:hAnsi="Verdana"/>
                <w:b/>
                <w:bCs/>
              </w:rPr>
              <w:t>43</w:t>
            </w:r>
          </w:p>
        </w:tc>
        <w:tc>
          <w:tcPr>
            <w:tcW w:w="2056" w:type="dxa"/>
            <w:shd w:val="clear" w:color="auto" w:fill="C9C9C9" w:themeFill="accent3" w:themeFillTint="99"/>
          </w:tcPr>
          <w:p w14:paraId="14E57FF8" w14:textId="5F2862A3" w:rsidR="00547A72" w:rsidRPr="00547A72" w:rsidRDefault="007D59FC">
            <w:pPr>
              <w:rPr>
                <w:rFonts w:ascii="Verdana" w:hAnsi="Verdana"/>
                <w:b/>
                <w:bCs/>
              </w:rPr>
            </w:pPr>
            <w:r>
              <w:rPr>
                <w:rFonts w:ascii="Verdana" w:hAnsi="Verdana"/>
                <w:b/>
                <w:bCs/>
              </w:rPr>
              <w:t>wait</w:t>
            </w:r>
          </w:p>
        </w:tc>
      </w:tr>
      <w:tr w:rsidR="00547A72" w:rsidRPr="00547A72" w14:paraId="6D79BBD2" w14:textId="436B000C" w:rsidTr="00A26E44">
        <w:trPr>
          <w:trHeight w:val="535"/>
        </w:trPr>
        <w:tc>
          <w:tcPr>
            <w:tcW w:w="2760" w:type="dxa"/>
            <w:shd w:val="clear" w:color="auto" w:fill="C9C9C9" w:themeFill="accent3" w:themeFillTint="99"/>
          </w:tcPr>
          <w:p w14:paraId="138E700A" w14:textId="4896553C" w:rsidR="00547A72" w:rsidRPr="00547A72" w:rsidRDefault="00547A72">
            <w:pPr>
              <w:rPr>
                <w:rFonts w:ascii="Verdana" w:hAnsi="Verdana"/>
                <w:b/>
                <w:bCs/>
              </w:rPr>
            </w:pPr>
            <w:r w:rsidRPr="00547A72">
              <w:rPr>
                <w:rFonts w:ascii="Verdana" w:hAnsi="Verdana"/>
                <w:b/>
                <w:bCs/>
              </w:rPr>
              <w:t>BTC</w:t>
            </w:r>
          </w:p>
        </w:tc>
        <w:tc>
          <w:tcPr>
            <w:tcW w:w="2416" w:type="dxa"/>
            <w:shd w:val="clear" w:color="auto" w:fill="C9C9C9" w:themeFill="accent3" w:themeFillTint="99"/>
          </w:tcPr>
          <w:p w14:paraId="5A6CF910" w14:textId="3328840C" w:rsidR="00547A72" w:rsidRPr="00547A72" w:rsidRDefault="002D3A31">
            <w:pPr>
              <w:rPr>
                <w:rFonts w:ascii="Verdana" w:hAnsi="Verdana"/>
                <w:b/>
                <w:bCs/>
              </w:rPr>
            </w:pPr>
            <w:r>
              <w:rPr>
                <w:rFonts w:ascii="Verdana" w:hAnsi="Verdana"/>
                <w:b/>
                <w:bCs/>
              </w:rPr>
              <w:t>laterale</w:t>
            </w:r>
          </w:p>
        </w:tc>
        <w:tc>
          <w:tcPr>
            <w:tcW w:w="2396" w:type="dxa"/>
            <w:shd w:val="clear" w:color="auto" w:fill="C9C9C9" w:themeFill="accent3" w:themeFillTint="99"/>
          </w:tcPr>
          <w:p w14:paraId="219BB4F4" w14:textId="61DFF3F3" w:rsidR="00547A72" w:rsidRPr="00547A72" w:rsidRDefault="003D34F1">
            <w:pPr>
              <w:rPr>
                <w:rFonts w:ascii="Verdana" w:hAnsi="Verdana"/>
                <w:b/>
                <w:bCs/>
              </w:rPr>
            </w:pPr>
            <w:r>
              <w:rPr>
                <w:rFonts w:ascii="Verdana" w:hAnsi="Verdana"/>
                <w:b/>
                <w:bCs/>
              </w:rPr>
              <w:t>6</w:t>
            </w:r>
            <w:r w:rsidR="00FF7D33">
              <w:rPr>
                <w:rFonts w:ascii="Verdana" w:hAnsi="Verdana"/>
                <w:b/>
                <w:bCs/>
              </w:rPr>
              <w:t>0</w:t>
            </w:r>
            <w:r w:rsidR="006E7D9F">
              <w:rPr>
                <w:rFonts w:ascii="Verdana" w:hAnsi="Verdana"/>
                <w:b/>
                <w:bCs/>
              </w:rPr>
              <w:t>000/</w:t>
            </w:r>
            <w:r>
              <w:rPr>
                <w:rFonts w:ascii="Verdana" w:hAnsi="Verdana"/>
                <w:b/>
                <w:bCs/>
              </w:rPr>
              <w:t>7</w:t>
            </w:r>
            <w:r w:rsidR="00E431A1">
              <w:rPr>
                <w:rFonts w:ascii="Verdana" w:hAnsi="Verdana"/>
                <w:b/>
                <w:bCs/>
              </w:rPr>
              <w:t>3</w:t>
            </w:r>
            <w:r w:rsidR="00353F04">
              <w:rPr>
                <w:rFonts w:ascii="Verdana" w:hAnsi="Verdana"/>
                <w:b/>
                <w:bCs/>
              </w:rPr>
              <w:t>662</w:t>
            </w:r>
          </w:p>
        </w:tc>
        <w:tc>
          <w:tcPr>
            <w:tcW w:w="2056" w:type="dxa"/>
            <w:shd w:val="clear" w:color="auto" w:fill="C9C9C9" w:themeFill="accent3" w:themeFillTint="99"/>
          </w:tcPr>
          <w:p w14:paraId="7AED939D" w14:textId="68B732EF" w:rsidR="00547A72" w:rsidRPr="00547A72" w:rsidRDefault="00D62488">
            <w:pPr>
              <w:rPr>
                <w:rFonts w:ascii="Verdana" w:hAnsi="Verdana"/>
                <w:b/>
                <w:bCs/>
              </w:rPr>
            </w:pPr>
            <w:r>
              <w:rPr>
                <w:rFonts w:ascii="Verdana" w:hAnsi="Verdana"/>
                <w:b/>
                <w:bCs/>
              </w:rPr>
              <w:t>wait</w:t>
            </w:r>
          </w:p>
        </w:tc>
      </w:tr>
      <w:tr w:rsidR="00547A72" w:rsidRPr="00547A72" w14:paraId="3BEBC4F4" w14:textId="0744E447" w:rsidTr="00643144">
        <w:trPr>
          <w:trHeight w:val="535"/>
        </w:trPr>
        <w:tc>
          <w:tcPr>
            <w:tcW w:w="2760" w:type="dxa"/>
            <w:shd w:val="clear" w:color="auto" w:fill="C9C9C9" w:themeFill="accent3" w:themeFillTint="99"/>
          </w:tcPr>
          <w:p w14:paraId="1296E513" w14:textId="71080700" w:rsidR="00547A72" w:rsidRPr="00547A72" w:rsidRDefault="00547A72">
            <w:pPr>
              <w:rPr>
                <w:rFonts w:ascii="Verdana" w:hAnsi="Verdana"/>
                <w:b/>
                <w:bCs/>
              </w:rPr>
            </w:pPr>
            <w:r w:rsidRPr="00547A72">
              <w:rPr>
                <w:rFonts w:ascii="Verdana" w:hAnsi="Verdana"/>
                <w:b/>
                <w:bCs/>
              </w:rPr>
              <w:t>ETH</w:t>
            </w:r>
          </w:p>
        </w:tc>
        <w:tc>
          <w:tcPr>
            <w:tcW w:w="2416" w:type="dxa"/>
            <w:shd w:val="clear" w:color="auto" w:fill="C9C9C9" w:themeFill="accent3" w:themeFillTint="99"/>
          </w:tcPr>
          <w:p w14:paraId="41DEB536" w14:textId="71FA6C5D" w:rsidR="00547A72" w:rsidRPr="00547A72" w:rsidRDefault="00C01BA2">
            <w:pPr>
              <w:rPr>
                <w:rFonts w:ascii="Verdana" w:hAnsi="Verdana"/>
                <w:b/>
                <w:bCs/>
              </w:rPr>
            </w:pPr>
            <w:r>
              <w:rPr>
                <w:rFonts w:ascii="Verdana" w:hAnsi="Verdana"/>
                <w:b/>
                <w:bCs/>
              </w:rPr>
              <w:t>long</w:t>
            </w:r>
          </w:p>
        </w:tc>
        <w:tc>
          <w:tcPr>
            <w:tcW w:w="2396" w:type="dxa"/>
            <w:shd w:val="clear" w:color="auto" w:fill="C9C9C9" w:themeFill="accent3" w:themeFillTint="99"/>
          </w:tcPr>
          <w:p w14:paraId="17DAB202" w14:textId="1115E974" w:rsidR="00547A72" w:rsidRPr="00547A72" w:rsidRDefault="007B79B6">
            <w:pPr>
              <w:rPr>
                <w:rFonts w:ascii="Verdana" w:hAnsi="Verdana"/>
                <w:b/>
                <w:bCs/>
              </w:rPr>
            </w:pPr>
            <w:r>
              <w:rPr>
                <w:rFonts w:ascii="Verdana" w:hAnsi="Verdana"/>
                <w:b/>
                <w:bCs/>
              </w:rPr>
              <w:t>285</w:t>
            </w:r>
            <w:r w:rsidR="0095686A">
              <w:rPr>
                <w:rFonts w:ascii="Verdana" w:hAnsi="Verdana"/>
                <w:b/>
                <w:bCs/>
              </w:rPr>
              <w:t>0</w:t>
            </w:r>
            <w:r w:rsidR="006E7D9F">
              <w:rPr>
                <w:rFonts w:ascii="Verdana" w:hAnsi="Verdana"/>
                <w:b/>
                <w:bCs/>
              </w:rPr>
              <w:t>/</w:t>
            </w:r>
            <w:r w:rsidR="0095686A">
              <w:rPr>
                <w:rFonts w:ascii="Verdana" w:hAnsi="Verdana"/>
                <w:b/>
                <w:bCs/>
              </w:rPr>
              <w:t>38</w:t>
            </w:r>
            <w:r w:rsidR="003D34F1">
              <w:rPr>
                <w:rFonts w:ascii="Verdana" w:hAnsi="Verdana"/>
                <w:b/>
                <w:bCs/>
              </w:rPr>
              <w:t>00</w:t>
            </w:r>
          </w:p>
        </w:tc>
        <w:tc>
          <w:tcPr>
            <w:tcW w:w="2056" w:type="dxa"/>
            <w:shd w:val="clear" w:color="auto" w:fill="BFBFBF" w:themeFill="background1" w:themeFillShade="BF"/>
          </w:tcPr>
          <w:p w14:paraId="78F61D2E" w14:textId="2B418402" w:rsidR="00547A72" w:rsidRPr="00B21CD2" w:rsidRDefault="003A127D">
            <w:pPr>
              <w:rPr>
                <w:rFonts w:ascii="Verdana" w:hAnsi="Verdana"/>
                <w:b/>
                <w:color w:val="8EAADB" w:themeColor="accent1" w:themeTint="99"/>
              </w:rPr>
            </w:pPr>
            <w:r w:rsidRPr="003A127D">
              <w:rPr>
                <w:rFonts w:ascii="Verdana" w:hAnsi="Verdana"/>
                <w:b/>
              </w:rPr>
              <w:t>wait</w:t>
            </w:r>
          </w:p>
        </w:tc>
      </w:tr>
    </w:tbl>
    <w:p w14:paraId="5B7D28BA" w14:textId="77777777" w:rsidR="00547A72" w:rsidRPr="00547A72" w:rsidRDefault="00547A72" w:rsidP="00A26E44">
      <w:pPr>
        <w:rPr>
          <w:rFonts w:ascii="Verdana" w:hAnsi="Verdana"/>
        </w:rPr>
      </w:pPr>
    </w:p>
    <w:sectPr w:rsidR="00547A72" w:rsidRPr="00547A72" w:rsidSect="00D50F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72"/>
    <w:rsid w:val="00035CDA"/>
    <w:rsid w:val="000454FA"/>
    <w:rsid w:val="00064011"/>
    <w:rsid w:val="00076733"/>
    <w:rsid w:val="00081DC8"/>
    <w:rsid w:val="000B1DDF"/>
    <w:rsid w:val="000B46CC"/>
    <w:rsid w:val="000C0DD5"/>
    <w:rsid w:val="000C4A10"/>
    <w:rsid w:val="000D1442"/>
    <w:rsid w:val="000F1E4B"/>
    <w:rsid w:val="001028E3"/>
    <w:rsid w:val="00103861"/>
    <w:rsid w:val="00106153"/>
    <w:rsid w:val="00107B03"/>
    <w:rsid w:val="0011535C"/>
    <w:rsid w:val="001166BB"/>
    <w:rsid w:val="00120317"/>
    <w:rsid w:val="001420AF"/>
    <w:rsid w:val="00154AB7"/>
    <w:rsid w:val="00163BC4"/>
    <w:rsid w:val="001672DF"/>
    <w:rsid w:val="001766EA"/>
    <w:rsid w:val="00176A44"/>
    <w:rsid w:val="001A2253"/>
    <w:rsid w:val="001D37DC"/>
    <w:rsid w:val="00204108"/>
    <w:rsid w:val="0021684F"/>
    <w:rsid w:val="00244D97"/>
    <w:rsid w:val="00251DEA"/>
    <w:rsid w:val="002664E7"/>
    <w:rsid w:val="002762D2"/>
    <w:rsid w:val="002D3A31"/>
    <w:rsid w:val="002F0324"/>
    <w:rsid w:val="00307A15"/>
    <w:rsid w:val="00307F30"/>
    <w:rsid w:val="00311B5E"/>
    <w:rsid w:val="0032772E"/>
    <w:rsid w:val="00332746"/>
    <w:rsid w:val="00332B93"/>
    <w:rsid w:val="00334F48"/>
    <w:rsid w:val="003368F9"/>
    <w:rsid w:val="0034554C"/>
    <w:rsid w:val="00353F04"/>
    <w:rsid w:val="00365D73"/>
    <w:rsid w:val="00396D11"/>
    <w:rsid w:val="003A127D"/>
    <w:rsid w:val="003A1DAA"/>
    <w:rsid w:val="003A4E0E"/>
    <w:rsid w:val="003B0B1A"/>
    <w:rsid w:val="003C5F70"/>
    <w:rsid w:val="003D34F1"/>
    <w:rsid w:val="003D511F"/>
    <w:rsid w:val="003E65E5"/>
    <w:rsid w:val="003F2FC0"/>
    <w:rsid w:val="003F367E"/>
    <w:rsid w:val="004007F5"/>
    <w:rsid w:val="004050B5"/>
    <w:rsid w:val="00412E87"/>
    <w:rsid w:val="00420ADF"/>
    <w:rsid w:val="004217DD"/>
    <w:rsid w:val="00425BCB"/>
    <w:rsid w:val="00450124"/>
    <w:rsid w:val="004614B6"/>
    <w:rsid w:val="0047360B"/>
    <w:rsid w:val="004758DF"/>
    <w:rsid w:val="00485233"/>
    <w:rsid w:val="00486711"/>
    <w:rsid w:val="004870F5"/>
    <w:rsid w:val="00495B53"/>
    <w:rsid w:val="004A023C"/>
    <w:rsid w:val="004C3986"/>
    <w:rsid w:val="004E6CEA"/>
    <w:rsid w:val="004F1422"/>
    <w:rsid w:val="00502111"/>
    <w:rsid w:val="00524014"/>
    <w:rsid w:val="005373B4"/>
    <w:rsid w:val="00547A72"/>
    <w:rsid w:val="00547EB1"/>
    <w:rsid w:val="0057543C"/>
    <w:rsid w:val="0058097B"/>
    <w:rsid w:val="00587B61"/>
    <w:rsid w:val="00591E1C"/>
    <w:rsid w:val="005A4682"/>
    <w:rsid w:val="005A6050"/>
    <w:rsid w:val="005A68C7"/>
    <w:rsid w:val="005C5D98"/>
    <w:rsid w:val="005E5718"/>
    <w:rsid w:val="00610441"/>
    <w:rsid w:val="00610BA5"/>
    <w:rsid w:val="00614474"/>
    <w:rsid w:val="00627813"/>
    <w:rsid w:val="00631389"/>
    <w:rsid w:val="0063400A"/>
    <w:rsid w:val="00640378"/>
    <w:rsid w:val="00643144"/>
    <w:rsid w:val="00644F5C"/>
    <w:rsid w:val="00646F4A"/>
    <w:rsid w:val="0066509C"/>
    <w:rsid w:val="0067229E"/>
    <w:rsid w:val="00697B25"/>
    <w:rsid w:val="00697BD7"/>
    <w:rsid w:val="006E0F56"/>
    <w:rsid w:val="006E36D1"/>
    <w:rsid w:val="006E7D9F"/>
    <w:rsid w:val="006F4708"/>
    <w:rsid w:val="006F5809"/>
    <w:rsid w:val="00747B5C"/>
    <w:rsid w:val="0075130F"/>
    <w:rsid w:val="007575CF"/>
    <w:rsid w:val="007631E8"/>
    <w:rsid w:val="00770C9B"/>
    <w:rsid w:val="00773AA7"/>
    <w:rsid w:val="0077725E"/>
    <w:rsid w:val="00777CD0"/>
    <w:rsid w:val="00784743"/>
    <w:rsid w:val="00785D9F"/>
    <w:rsid w:val="00785DA5"/>
    <w:rsid w:val="00796142"/>
    <w:rsid w:val="007A5557"/>
    <w:rsid w:val="007B10AE"/>
    <w:rsid w:val="007B79B6"/>
    <w:rsid w:val="007B79FC"/>
    <w:rsid w:val="007D59FC"/>
    <w:rsid w:val="007D763B"/>
    <w:rsid w:val="007F1A92"/>
    <w:rsid w:val="0082766B"/>
    <w:rsid w:val="008606C8"/>
    <w:rsid w:val="00876305"/>
    <w:rsid w:val="00877557"/>
    <w:rsid w:val="008A29C0"/>
    <w:rsid w:val="008A3BDB"/>
    <w:rsid w:val="008B0BB7"/>
    <w:rsid w:val="008C6CE7"/>
    <w:rsid w:val="008D19F2"/>
    <w:rsid w:val="008D5855"/>
    <w:rsid w:val="008D6DC4"/>
    <w:rsid w:val="009168C1"/>
    <w:rsid w:val="00931175"/>
    <w:rsid w:val="00932BD1"/>
    <w:rsid w:val="00937222"/>
    <w:rsid w:val="0095686A"/>
    <w:rsid w:val="00973A8F"/>
    <w:rsid w:val="0099763B"/>
    <w:rsid w:val="009A3531"/>
    <w:rsid w:val="009A3793"/>
    <w:rsid w:val="009A457B"/>
    <w:rsid w:val="009D0FB2"/>
    <w:rsid w:val="009D3B24"/>
    <w:rsid w:val="009E63B8"/>
    <w:rsid w:val="00A0452E"/>
    <w:rsid w:val="00A23869"/>
    <w:rsid w:val="00A26E44"/>
    <w:rsid w:val="00A3640E"/>
    <w:rsid w:val="00A44C89"/>
    <w:rsid w:val="00A61603"/>
    <w:rsid w:val="00A858F8"/>
    <w:rsid w:val="00AA00A3"/>
    <w:rsid w:val="00AC4F0E"/>
    <w:rsid w:val="00AD652B"/>
    <w:rsid w:val="00AE6A24"/>
    <w:rsid w:val="00AE704B"/>
    <w:rsid w:val="00AF3C49"/>
    <w:rsid w:val="00B158B3"/>
    <w:rsid w:val="00B15B2B"/>
    <w:rsid w:val="00B171CF"/>
    <w:rsid w:val="00B21579"/>
    <w:rsid w:val="00B21CD2"/>
    <w:rsid w:val="00B43420"/>
    <w:rsid w:val="00B55CD9"/>
    <w:rsid w:val="00BA1375"/>
    <w:rsid w:val="00BC27EE"/>
    <w:rsid w:val="00C01BA2"/>
    <w:rsid w:val="00C04B4B"/>
    <w:rsid w:val="00C05858"/>
    <w:rsid w:val="00C12AE3"/>
    <w:rsid w:val="00C60595"/>
    <w:rsid w:val="00C7153A"/>
    <w:rsid w:val="00C72243"/>
    <w:rsid w:val="00C76839"/>
    <w:rsid w:val="00C86FD2"/>
    <w:rsid w:val="00C9063C"/>
    <w:rsid w:val="00CA559E"/>
    <w:rsid w:val="00CB127D"/>
    <w:rsid w:val="00CB21C3"/>
    <w:rsid w:val="00CC00C7"/>
    <w:rsid w:val="00CD4C6C"/>
    <w:rsid w:val="00CE08A1"/>
    <w:rsid w:val="00CE1D89"/>
    <w:rsid w:val="00CE3F06"/>
    <w:rsid w:val="00CF7E4F"/>
    <w:rsid w:val="00D079BB"/>
    <w:rsid w:val="00D15E02"/>
    <w:rsid w:val="00D15EA4"/>
    <w:rsid w:val="00D30BE5"/>
    <w:rsid w:val="00D47557"/>
    <w:rsid w:val="00D50BDC"/>
    <w:rsid w:val="00D50F8F"/>
    <w:rsid w:val="00D52723"/>
    <w:rsid w:val="00D60BE3"/>
    <w:rsid w:val="00D62488"/>
    <w:rsid w:val="00D70555"/>
    <w:rsid w:val="00D71350"/>
    <w:rsid w:val="00D7457E"/>
    <w:rsid w:val="00D74C82"/>
    <w:rsid w:val="00DA2909"/>
    <w:rsid w:val="00DA2961"/>
    <w:rsid w:val="00DA75EE"/>
    <w:rsid w:val="00DB320B"/>
    <w:rsid w:val="00DC2D28"/>
    <w:rsid w:val="00DD2925"/>
    <w:rsid w:val="00DE323E"/>
    <w:rsid w:val="00DF742E"/>
    <w:rsid w:val="00E03F96"/>
    <w:rsid w:val="00E10645"/>
    <w:rsid w:val="00E236D1"/>
    <w:rsid w:val="00E431A1"/>
    <w:rsid w:val="00E432DC"/>
    <w:rsid w:val="00E53A90"/>
    <w:rsid w:val="00E643D0"/>
    <w:rsid w:val="00E76C02"/>
    <w:rsid w:val="00E80CB0"/>
    <w:rsid w:val="00E90095"/>
    <w:rsid w:val="00E9089B"/>
    <w:rsid w:val="00E923A8"/>
    <w:rsid w:val="00EB3E27"/>
    <w:rsid w:val="00EC52AA"/>
    <w:rsid w:val="00EF32C3"/>
    <w:rsid w:val="00EF4C47"/>
    <w:rsid w:val="00F030BC"/>
    <w:rsid w:val="00F06E5F"/>
    <w:rsid w:val="00F11FDC"/>
    <w:rsid w:val="00F2301C"/>
    <w:rsid w:val="00F27D9D"/>
    <w:rsid w:val="00F3729B"/>
    <w:rsid w:val="00F7289B"/>
    <w:rsid w:val="00F73008"/>
    <w:rsid w:val="00F809C1"/>
    <w:rsid w:val="00F83329"/>
    <w:rsid w:val="00F85A92"/>
    <w:rsid w:val="00FB019C"/>
    <w:rsid w:val="00FB4437"/>
    <w:rsid w:val="00FB6916"/>
    <w:rsid w:val="00FC0E97"/>
    <w:rsid w:val="00FF7D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98D3"/>
  <w15:chartTrackingRefBased/>
  <w15:docId w15:val="{6092645A-0236-46E2-8898-301147F5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47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605848">
      <w:bodyDiv w:val="1"/>
      <w:marLeft w:val="0"/>
      <w:marRight w:val="0"/>
      <w:marTop w:val="0"/>
      <w:marBottom w:val="0"/>
      <w:divBdr>
        <w:top w:val="none" w:sz="0" w:space="0" w:color="auto"/>
        <w:left w:val="none" w:sz="0" w:space="0" w:color="auto"/>
        <w:bottom w:val="none" w:sz="0" w:space="0" w:color="auto"/>
        <w:right w:val="none" w:sz="0" w:space="0" w:color="auto"/>
      </w:divBdr>
      <w:divsChild>
        <w:div w:id="1565411007">
          <w:marLeft w:val="0"/>
          <w:marRight w:val="0"/>
          <w:marTop w:val="0"/>
          <w:marBottom w:val="0"/>
          <w:divBdr>
            <w:top w:val="none" w:sz="0" w:space="0" w:color="auto"/>
            <w:left w:val="none" w:sz="0" w:space="0" w:color="auto"/>
            <w:bottom w:val="none" w:sz="0" w:space="0" w:color="auto"/>
            <w:right w:val="none" w:sz="0" w:space="0" w:color="auto"/>
          </w:divBdr>
        </w:div>
        <w:div w:id="951134295">
          <w:marLeft w:val="0"/>
          <w:marRight w:val="0"/>
          <w:marTop w:val="0"/>
          <w:marBottom w:val="0"/>
          <w:divBdr>
            <w:top w:val="none" w:sz="0" w:space="0" w:color="auto"/>
            <w:left w:val="none" w:sz="0" w:space="0" w:color="auto"/>
            <w:bottom w:val="none" w:sz="0" w:space="0" w:color="auto"/>
            <w:right w:val="none" w:sz="0" w:space="0" w:color="auto"/>
          </w:divBdr>
        </w:div>
        <w:div w:id="512574420">
          <w:marLeft w:val="0"/>
          <w:marRight w:val="0"/>
          <w:marTop w:val="0"/>
          <w:marBottom w:val="0"/>
          <w:divBdr>
            <w:top w:val="none" w:sz="0" w:space="0" w:color="auto"/>
            <w:left w:val="none" w:sz="0" w:space="0" w:color="auto"/>
            <w:bottom w:val="none" w:sz="0" w:space="0" w:color="auto"/>
            <w:right w:val="none" w:sz="0" w:space="0" w:color="auto"/>
          </w:divBdr>
        </w:div>
        <w:div w:id="1195578674">
          <w:marLeft w:val="0"/>
          <w:marRight w:val="0"/>
          <w:marTop w:val="0"/>
          <w:marBottom w:val="0"/>
          <w:divBdr>
            <w:top w:val="none" w:sz="0" w:space="0" w:color="auto"/>
            <w:left w:val="none" w:sz="0" w:space="0" w:color="auto"/>
            <w:bottom w:val="none" w:sz="0" w:space="0" w:color="auto"/>
            <w:right w:val="none" w:sz="0" w:space="0" w:color="auto"/>
          </w:divBdr>
        </w:div>
        <w:div w:id="642344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414</Words>
  <Characters>2364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Maria Bianzino</dc:creator>
  <cp:keywords/>
  <dc:description/>
  <cp:lastModifiedBy>Alessio Maria Bianzino</cp:lastModifiedBy>
  <cp:revision>8</cp:revision>
  <dcterms:created xsi:type="dcterms:W3CDTF">2024-05-27T07:20:00Z</dcterms:created>
  <dcterms:modified xsi:type="dcterms:W3CDTF">2024-05-27T08:12:00Z</dcterms:modified>
</cp:coreProperties>
</file>