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46523BD9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0361D5">
        <w:rPr>
          <w:rFonts w:ascii="Verdana" w:hAnsi="Verdana"/>
          <w:b/>
          <w:bCs/>
        </w:rPr>
        <w:t>14</w:t>
      </w:r>
      <w:r w:rsidR="001F5117">
        <w:rPr>
          <w:rFonts w:ascii="Verdana" w:hAnsi="Verdana"/>
          <w:b/>
          <w:bCs/>
        </w:rPr>
        <w:t>/</w:t>
      </w:r>
      <w:r w:rsidR="000361D5">
        <w:rPr>
          <w:rFonts w:ascii="Verdana" w:hAnsi="Verdana"/>
          <w:b/>
          <w:bCs/>
        </w:rPr>
        <w:t>10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747DA6D3" w14:textId="77777777" w:rsidR="00682BE3" w:rsidRDefault="00EB722D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Rientrato dalla trasferta asiatica ho trovato la situazione abbastanza uguale. Mercati azionari in </w:t>
            </w:r>
            <w:proofErr w:type="gramStart"/>
            <w:r>
              <w:rPr>
                <w:rFonts w:ascii="Verdana" w:hAnsi="Verdana"/>
              </w:rPr>
              <w:t>trend ascendente</w:t>
            </w:r>
            <w:proofErr w:type="gramEnd"/>
            <w:r>
              <w:rPr>
                <w:rFonts w:ascii="Verdana" w:hAnsi="Verdana"/>
              </w:rPr>
              <w:t xml:space="preserve"> con bassa volatilità, bond in fase di correzione dei rendimenti dovuto al ridimensionarsi delle aspettative di tagli dei tassi, oro sempre forte che sembra non scalfirlo niente</w:t>
            </w:r>
            <w:r w:rsidR="00E00BDB">
              <w:rPr>
                <w:rFonts w:ascii="Verdana" w:hAnsi="Verdana"/>
              </w:rPr>
              <w:t>.</w:t>
            </w:r>
          </w:p>
          <w:p w14:paraId="235C5750" w14:textId="77777777" w:rsidR="00E00BDB" w:rsidRDefault="00E00BDB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Quel che appare poco spiegabile come i mercati “tecnici” dei bonds e dei cambi si stiano adeguando alle nuove aspettative di inflazione e tassi d’interesse e crescita economica e i mercati “emotivi” quale quelli azionari proseguono a scontare aspettative sempre più rosee che poco si conciliano con anche le politiche economiche che stanno proponendo i candidati usa o stanno attuando altri governi imponendo dazi e barriere doganali.</w:t>
            </w:r>
          </w:p>
          <w:p w14:paraId="3F80A8C5" w14:textId="6D64519C" w:rsidR="00E00BDB" w:rsidRPr="00F72F62" w:rsidRDefault="00E00BDB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Forse più semplicemente c’è talmente tanta liquidità per le 7 sorelle che le </w:t>
            </w:r>
            <w:r w:rsidR="005603B1">
              <w:rPr>
                <w:rFonts w:ascii="Verdana" w:hAnsi="Verdana"/>
              </w:rPr>
              <w:t>aziende vedo</w:t>
            </w:r>
            <w:r>
              <w:rPr>
                <w:rFonts w:ascii="Verdana" w:hAnsi="Verdana"/>
              </w:rPr>
              <w:t xml:space="preserve"> nei buyback l’unico vero investimento </w:t>
            </w:r>
            <w:proofErr w:type="gramStart"/>
            <w:r>
              <w:rPr>
                <w:rFonts w:ascii="Verdana" w:hAnsi="Verdana"/>
              </w:rPr>
              <w:t>redditizio</w:t>
            </w:r>
            <w:r w:rsidR="005603B1">
              <w:rPr>
                <w:rFonts w:ascii="Verdana" w:hAnsi="Verdana"/>
              </w:rPr>
              <w:t>….</w:t>
            </w:r>
            <w:proofErr w:type="gramEnd"/>
            <w:r>
              <w:rPr>
                <w:rFonts w:ascii="Verdana" w:hAnsi="Verdana"/>
              </w:rPr>
              <w:t>per aumentare i bonus dei loro CEO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 xml:space="preserve">dove cambia e accelera </w:t>
            </w:r>
            <w:proofErr w:type="gramStart"/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il trend</w:t>
            </w:r>
            <w:proofErr w:type="gramEnd"/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ACF2D06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52CEBF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5A304DB8" w:rsidR="00D91C65" w:rsidRPr="00107B03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5379A1E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C5FE96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0196E070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19BD8EB8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7B3611CC" w:rsidR="00D91C65" w:rsidRPr="00547A72" w:rsidRDefault="00927C1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A0ED805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</w:rPr>
              <w:t>cap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3229FC8C" w:rsidR="00D91C65" w:rsidRPr="00547A72" w:rsidRDefault="00927C1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71E13B61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ACF1C42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BD86795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69874289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0379B065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44599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</w:rPr>
              <w:t>cap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7C236652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80/22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510A55D2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7CC15C30" w:rsidR="00D91C65" w:rsidRDefault="00902804">
            <w:pPr>
              <w:rPr>
                <w:rFonts w:ascii="Verdana" w:hAnsi="Verdana"/>
                <w:b/>
                <w:bCs/>
              </w:rPr>
            </w:pPr>
            <w:r w:rsidRPr="00902804">
              <w:rPr>
                <w:rFonts w:ascii="Verdana" w:hAnsi="Verdana"/>
                <w:b/>
                <w:bCs/>
                <w:sz w:val="20"/>
                <w:szCs w:val="20"/>
              </w:rPr>
              <w:t>Accelerazione sotto 2468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045BA874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</w:rPr>
              <w:t>cap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39FF748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7CD44249" w:rsidR="00D91C65" w:rsidRPr="00E90A69" w:rsidRDefault="00EB722D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6E5A8F20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71EDABA6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5D57109C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6A744F3F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B722D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3354D612" w:rsidR="00D91C65" w:rsidRPr="00547A72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1F56B5B4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622A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039C57EA" w:rsidR="00D91C65" w:rsidRPr="001042CA" w:rsidRDefault="004C543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4C543D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5156"/>
    <w:rsid w:val="001F31B0"/>
    <w:rsid w:val="001F5117"/>
    <w:rsid w:val="001F5743"/>
    <w:rsid w:val="00204108"/>
    <w:rsid w:val="002158FD"/>
    <w:rsid w:val="0021684F"/>
    <w:rsid w:val="00244D97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B7DA3"/>
    <w:rsid w:val="004C3986"/>
    <w:rsid w:val="004C543D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82BE3"/>
    <w:rsid w:val="00697B25"/>
    <w:rsid w:val="00697BD7"/>
    <w:rsid w:val="006B0E96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79B6"/>
    <w:rsid w:val="007B79FC"/>
    <w:rsid w:val="007D59FC"/>
    <w:rsid w:val="007D763B"/>
    <w:rsid w:val="007F1A92"/>
    <w:rsid w:val="007F4FAA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C01BA2"/>
    <w:rsid w:val="00C04B4B"/>
    <w:rsid w:val="00C05858"/>
    <w:rsid w:val="00C123F0"/>
    <w:rsid w:val="00C12AE3"/>
    <w:rsid w:val="00C60595"/>
    <w:rsid w:val="00C672BC"/>
    <w:rsid w:val="00C7153A"/>
    <w:rsid w:val="00C72243"/>
    <w:rsid w:val="00C76839"/>
    <w:rsid w:val="00C86FD2"/>
    <w:rsid w:val="00C9063C"/>
    <w:rsid w:val="00C94567"/>
    <w:rsid w:val="00CA559E"/>
    <w:rsid w:val="00CB127D"/>
    <w:rsid w:val="00CB21C3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75EE"/>
    <w:rsid w:val="00DB320B"/>
    <w:rsid w:val="00DC2D28"/>
    <w:rsid w:val="00DD2925"/>
    <w:rsid w:val="00DE323E"/>
    <w:rsid w:val="00DF3C15"/>
    <w:rsid w:val="00DF742E"/>
    <w:rsid w:val="00E00BDB"/>
    <w:rsid w:val="00E03F96"/>
    <w:rsid w:val="00E10645"/>
    <w:rsid w:val="00E12A40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E3810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2024-10-14T08:59:00Z</dcterms:created>
  <dcterms:modified xsi:type="dcterms:W3CDTF">2024-10-14T09:53:00Z</dcterms:modified>
</cp:coreProperties>
</file>